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f1ea"/>
  <w:body>
    <w:p>
      <w:pPr>
        <w:spacing w:after="0" w:line="240" w:lineRule="auto"/>
      </w:pPr>
      <w:r>
        <w:drawing>
          <wp:inline xmlns:a="http://schemas.openxmlformats.org/drawingml/2006/main" xmlns:pic="http://schemas.openxmlformats.org/drawingml/2006/picture">
            <wp:extent cx="7542000" cy="106682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682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keepNext/>
        <w:spacing w:before="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CONTENTS · V1.0 · 31 OCTOBER 2026</w:t>
      </w:r>
    </w:p>
    <w:p>
      <w:pPr>
        <w:pStyle w:val="Heading1"/>
      </w:pPr>
      <w:r>
        <w:rPr>
          <w:rFonts w:ascii="Inter" w:hAnsi="Inter" w:cs="Inter" w:eastAsia="Inter"/>
          <w:b/>
          <w:color w:val="161616"/>
        </w:rPr>
        <w:t>Contents</w:t>
      </w:r>
    </w:p>
    <w:tbl>
      <w:tblPr>
        <w:tblW w:type="dxa" w:w="9412"/>
        <w:tblLook w:firstColumn="1" w:firstRow="1" w:lastColumn="0" w:lastRow="0" w:noHBand="0" w:noVBand="1" w:val="04A0"/>
        <w:tblBorders>
          <w:top w:val="single" w:sz="4" w:color="2b2b2b"/>
          <w:left w:val="single" w:sz="4" w:color="2b2b2b"/>
          <w:bottom w:val="single" w:sz="4" w:color="2b2b2b"/>
          <w:right w:val="single" w:sz="4" w:color="2b2b2b"/>
          <w:insideH w:val="single" w:sz="4" w:color="2b2b2b"/>
          <w:insideV w:val="single" w:sz="4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1020"/>
        <w:gridCol w:w="8391"/>
      </w:tblGrid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01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About this document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02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Brand story and positioning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03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The manifesto and the framework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04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Name, wordmark and logo mark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05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Colour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06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Typography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07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Layout, grid and spacing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08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Components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09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Imagery and illustration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10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FrameVR boards and areas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11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Voice and tone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12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Accessibility and contrast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13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Files and naming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14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Examples in use</w:t>
            </w:r>
          </w:p>
        </w:tc>
      </w:tr>
      <w:tr>
        <w:tc>
          <w:tcPr>
            <w:tcW w:type="dxa" w:w="1020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8"/>
                <w:spacing w:val="20"/>
              </w:rPr>
              <w:t>15</w:t>
            </w:r>
          </w:p>
        </w:tc>
        <w:tc>
          <w:tcPr>
            <w:tcW w:type="dxa" w:w="8391"/>
            <w:shd w:val="clear" w:color="auto" w:fill="fbfaf6"/>
          </w:tcPr>
          <w:p>
            <w:r>
              <w:rPr>
                <w:rFonts w:ascii="Inter" w:hAnsi="Inter" w:cs="Inter" w:eastAsia="Inter"/>
                <w:b/>
                <w:color w:val="161616"/>
                <w:sz w:val="22"/>
              </w:rPr>
              <w:t>Elaborations and open questions</w:t>
            </w:r>
          </w:p>
        </w:tc>
      </w:tr>
    </w:tbl>
    <w:p/>
    <w:tbl>
      <w:tblPr>
        <w:tblW w:type="dxa" w:w="9412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9412"/>
      </w:tblGrid>
      <w:tr>
        <w:tc>
          <w:tcPr>
            <w:tcW w:type="dxa" w:w="9411"/>
            <w:shd w:val="clear" w:color="auto" w:fill="eef5fe"/>
          </w:tcPr>
          <w:p>
            <w:pPr>
              <w:spacing w:after="0"/>
            </w:pPr>
            <w:r>
              <w:rPr>
                <w:b/>
                <w:color w:val="161616"/>
              </w:rPr>
              <w:t xml:space="preserve">Three formats, one brand. </w:t>
            </w:r>
            <w:r>
              <w:t>Section numbers in this document match the eyebrows above each heading. The machine-readable version (usandthem-brand.json) and the AI system prompt (usandthem-brand-system-prompt.md) carry the same rules.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01 · ABOUT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About this document</w:t>
      </w:r>
    </w:p>
    <w:p>
      <w:pPr>
        <w:spacing w:after="200"/>
      </w:pPr>
      <w:r>
        <w:rPr>
          <w:rFonts w:ascii="Inter" w:hAnsi="Inter" w:cs="Inter" w:eastAsia="Inter"/>
          <w:b/>
          <w:color w:val="161616"/>
          <w:sz w:val="26"/>
        </w:rPr>
        <w:t>This is the full brand guide for Us and Them (usandthem.work): how it looks, how it sounds, and how to use it on the web, on slides, in print and on FrameVR boards.</w:t>
      </w:r>
    </w:p>
    <w:p>
      <w:r>
        <w:t>It expands the v0.1 brand and style guide (docs/brand/brand-and-style-guide.md) and documents what is actually built in site/ (styles.css, favicon.svg, hero-floor.svg) and in the FrameVR boards (framevr/assets). Where the site and the v0.1 guide differ, both are shown.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2154"/>
        <w:gridCol w:w="7257"/>
      </w:tblGrid>
      <w:tr>
        <w:trPr>
          <w:tblHeader w:val="true"/>
        </w:trPr>
        <w:tc>
          <w:tcPr>
            <w:tcW w:type="dxa" w:w="2154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ITEM</w:t>
            </w:r>
          </w:p>
        </w:tc>
        <w:tc>
          <w:tcPr>
            <w:tcW w:type="dxa" w:w="7257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DETAIL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Version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1.0 · 31 October 2026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Owner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Us and Them (usandthem.work)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Faceless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Faceless for now: no personal names or bylines on public surfaces.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Language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British English (en-GB)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Source of truth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docs/brand/brand-and-style-guide.md and site/styles.css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Lifted from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trolleyproblems.work (live styles.css, favicon.svg and og.png, checked 31 October 2026)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Companion files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usandthem-brand.json (design tokens and rules) · usandthem-brand-system-prompt.md (AI assistant prompt)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Download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https://usandthem-work.netlify.app/brand.html</w:t>
            </w:r>
          </w:p>
        </w:tc>
      </w:tr>
    </w:tbl>
    <w:p>
      <w:pPr>
        <w:spacing w:after="40"/>
      </w:pPr>
    </w:p>
    <w:tbl>
      <w:tblPr>
        <w:tblW w:type="dxa" w:w="9412"/>
        <w:tblLook w:firstColumn="1" w:firstRow="1" w:lastColumn="0" w:lastRow="0" w:noHBand="0" w:noVBand="1" w:val="04A0"/>
        <w:tblBorders>
          <w:top w:val="single" w:sz="6" w:color="a4472b"/>
          <w:left w:val="single" w:sz="6" w:color="a4472b"/>
          <w:bottom w:val="single" w:sz="6" w:color="a4472b"/>
          <w:right w:val="single" w:sz="6" w:color="a4472b"/>
          <w:insideH w:val="single" w:sz="6" w:color="a4472b"/>
          <w:insideV w:val="single" w:sz="6" w:color="a447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9412"/>
      </w:tblGrid>
      <w:tr>
        <w:tc>
          <w:tcPr>
            <w:tcW w:type="dxa" w:w="9411"/>
            <w:shd w:val="clear" w:color="auto" w:fill="fff3ef"/>
          </w:tcPr>
          <w:p>
            <w:pPr>
              <w:spacing w:after="0"/>
            </w:pPr>
            <w:r>
              <w:rPr>
                <w:b/>
                <w:color w:val="161616"/>
              </w:rPr>
              <w:t xml:space="preserve">Elaborations are marked. </w:t>
            </w:r>
            <w:r>
              <w:t>Anything that goes beyond the v0.1 guide is flagged as an elaboration and listed in section 15. Nothing new has been added to the brand itself: no new colours, fonts or marks.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02 · STORY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Brand story and positioning</w:t>
      </w:r>
    </w:p>
    <w:p>
      <w:pPr>
        <w:spacing w:after="200"/>
      </w:pPr>
      <w:r>
        <w:rPr>
          <w:rFonts w:ascii="Inter" w:hAnsi="Inter" w:cs="Inter" w:eastAsia="Inter"/>
          <w:b/>
          <w:color w:val="161616"/>
          <w:sz w:val="26"/>
        </w:rPr>
        <w:t>Agents are arriving faster than we can see them, pay for them, or learn to work with them.</w:t>
      </w:r>
    </w:p>
    <w:p>
      <w:r>
        <w:t>What if there was a better way of working together? Us and Them is a manifesto, a framework (The Shared Floor) and a set of shared spaces for working with Autopilots, Agents &amp; Humans. One shared floor, where humans, agents and autopilots work in the open, under the same rules.</w:t>
      </w: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The idea in one picture</w:t>
      </w:r>
    </w:p>
    <w:p>
      <w:r>
        <w:t>Three tracks, Humans, Agents and Autopilots, run in from different directions and meet on one square shared floor, drawn isometrically like a trolley-problem diagram. No lever, no casualties: everything arrives in the same place and is visible.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526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ro-floo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52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FIG 1 · THE SHARED FLOOR · SITE/ASSETS/HERO-FLOOR.SVG</w:t>
      </w: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A sibling of Trolley Problems</w:t>
      </w:r>
    </w:p>
    <w:p>
      <w:r>
        <w:t>The brand is lifted from trolleyproblems.work (AI Trolley Experiments): the same paper-and-ink palette, the same type pairing, the same technical-drawing feel with boxed mono labels and isometric diagrams. It is adapted for a calmer, more hopeful idea.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1701"/>
        <w:gridCol w:w="3855"/>
        <w:gridCol w:w="3855"/>
      </w:tblGrid>
      <w:tr>
        <w:trPr>
          <w:tblHeader w:val="true"/>
        </w:trPr>
        <w:tc>
          <w:tcPr>
            <w:tcW w:type="dxa" w:w="1701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</w:r>
          </w:p>
        </w:tc>
        <w:tc>
          <w:tcPr>
            <w:tcW w:type="dxa" w:w="3855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TROLLEY PROBLEMS</w:t>
            </w:r>
          </w:p>
        </w:tc>
        <w:tc>
          <w:tcPr>
            <w:tcW w:type="dxa" w:w="3855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US AND THEM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About</w:t>
            </w:r>
          </w:p>
        </w:tc>
        <w:tc>
          <w:tcPr>
            <w:tcW w:type="dxa" w:w="385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Choosing between tracks</w:t>
            </w:r>
          </w:p>
        </w:tc>
        <w:tc>
          <w:tcPr>
            <w:tcW w:type="dxa" w:w="385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Tracks meeting on a shared floor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Line</w:t>
            </w:r>
          </w:p>
        </w:tc>
        <w:tc>
          <w:tcPr>
            <w:tcW w:type="dxa" w:w="385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Pull the lever, or leave it.</w:t>
            </w:r>
          </w:p>
        </w:tc>
        <w:tc>
          <w:tcPr>
            <w:tcW w:type="dxa" w:w="385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Bring it onto the floor, where everyone can see it.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Relationship</w:t>
            </w:r>
          </w:p>
        </w:tc>
        <w:tc>
          <w:tcPr>
            <w:tcW w:type="dxa" w:w="385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Sibling project</w:t>
            </w:r>
          </w:p>
        </w:tc>
        <w:tc>
          <w:tcPr>
            <w:tcW w:type="dxa" w:w="385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Sibling project: credit it, never merge them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Who it is for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4876"/>
        <w:gridCol w:w="4536"/>
      </w:tblGrid>
      <w:tr>
        <w:trPr>
          <w:tblHeader w:val="true"/>
        </w:trPr>
        <w:tc>
          <w:tcPr>
            <w:tcW w:type="dxa" w:w="487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AUDIENCE</w:t>
            </w:r>
          </w:p>
        </w:tc>
        <w:tc>
          <w:tcPr>
            <w:tcW w:type="dxa" w:w="4535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WHO WE TALK TO</w:t>
            </w:r>
          </w:p>
        </w:tc>
      </w:tr>
      <w:tr>
        <w:tc>
          <w:tcPr>
            <w:tcW w:type="dxa" w:w="48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Mid-sized organisations adopting Microsoft 365 Copilot and agents (200–5,000 staff)</w:t>
            </w:r>
          </w:p>
        </w:tc>
        <w:tc>
          <w:tcPr>
            <w:tcW w:type="dxa" w:w="45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CIO / Head of Digital, COO; champions, team leads, IT</w:t>
            </w:r>
          </w:p>
        </w:tc>
      </w:tr>
      <w:tr>
        <w:tc>
          <w:tcPr>
            <w:tcW w:type="dxa" w:w="48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Large enterprises with agent sprawl</w:t>
            </w:r>
          </w:p>
        </w:tc>
        <w:tc>
          <w:tcPr>
            <w:tcW w:type="dxa" w:w="45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CIO, CISO, Chief Data Officer, AI CoE lead; risk, finance, L&amp;D</w:t>
            </w:r>
          </w:p>
        </w:tc>
      </w:tr>
      <w:tr>
        <w:tc>
          <w:tcPr>
            <w:tcW w:type="dxa" w:w="48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Public sector and education</w:t>
            </w:r>
          </w:p>
        </w:tc>
        <w:tc>
          <w:tcPr>
            <w:tcW w:type="dxa" w:w="45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Digital director, L&amp;D head; staff and learners</w:t>
            </w:r>
          </w:p>
        </w:tc>
      </w:tr>
      <w:tr>
        <w:tc>
          <w:tcPr>
            <w:tcW w:type="dxa" w:w="48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Microsoft partners, consultancies and L&amp;D providers</w:t>
            </w:r>
          </w:p>
        </w:tc>
        <w:tc>
          <w:tcPr>
            <w:tcW w:type="dxa" w:w="45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Practice leads and their consultants</w:t>
            </w:r>
          </w:p>
        </w:tc>
      </w:tr>
      <w:tr>
        <w:tc>
          <w:tcPr>
            <w:tcW w:type="dxa" w:w="48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Individuals and team leads</w:t>
            </w:r>
          </w:p>
        </w:tc>
        <w:tc>
          <w:tcPr>
            <w:tcW w:type="dxa" w:w="45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Readers of the book, the blog and community events</w:t>
            </w:r>
          </w:p>
        </w:tc>
      </w:tr>
    </w:tbl>
    <w:p>
      <w:pPr>
        <w:spacing w:after="40"/>
      </w:pPr>
    </w:p>
    <w:p>
      <w:r>
        <w:rPr>
          <w:color w:val="6C6A63"/>
          <w:sz w:val="18"/>
        </w:rPr>
        <w:t>Source: docs/business-plan.md §4. In every case, “us” means everyone at work.</w:t>
      </w: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Positioning lines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2154"/>
        <w:gridCol w:w="7257"/>
      </w:tblGrid>
      <w:tr>
        <w:trPr>
          <w:tblHeader w:val="true"/>
        </w:trPr>
        <w:tc>
          <w:tcPr>
            <w:tcW w:type="dxa" w:w="2154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USE</w:t>
            </w:r>
          </w:p>
        </w:tc>
        <w:tc>
          <w:tcPr>
            <w:tcW w:type="dxa" w:w="7257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LINE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Full name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Us and Them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Strapline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 manifesto for working with Autopilots, Agents &amp; Humans.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Question line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What if there was a better way of working together?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Hero lead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Agents are arriving faster than we can see them, pay for them, or learn to work with them.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Framework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The Shared Floor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Habits line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Name it. Place it. Bound it. Meter it. Teach it. Share it.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Footer line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NO AGENTS WERE LEFT UNSUPERVISED IN THE MAKING OF THIS SITE</w:t>
            </w:r>
          </w:p>
        </w:tc>
      </w:tr>
      <w:tr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Launch</w:t>
            </w:r>
          </w:p>
        </w:tc>
        <w:tc>
          <w:tcPr>
            <w:tcW w:type="dxa" w:w="7257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Open Floor · Thursday 22 April 2027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03 · MANIFESTO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The manifesto and the framework</w:t>
      </w:r>
    </w:p>
    <w:p>
      <w:pPr>
        <w:spacing w:after="200"/>
      </w:pPr>
      <w:r>
        <w:rPr>
          <w:rFonts w:ascii="Inter" w:hAnsi="Inter" w:cs="Inter" w:eastAsia="Inter"/>
          <w:b/>
          <w:color w:val="161616"/>
          <w:sz w:val="26"/>
        </w:rPr>
        <w:t>Twelve lines. Each one is short enough for a board and plain enough to argue with.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793"/>
        <w:gridCol w:w="3515"/>
        <w:gridCol w:w="5103"/>
      </w:tblGrid>
      <w:tr>
        <w:trPr>
          <w:tblHeader w:val="true"/>
        </w:trPr>
        <w:tc>
          <w:tcPr>
            <w:tcW w:type="dxa" w:w="794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NO.</w:t>
            </w:r>
          </w:p>
        </w:tc>
        <w:tc>
          <w:tcPr>
            <w:tcW w:type="dxa" w:w="3515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LINE</w:t>
            </w:r>
          </w:p>
        </w:tc>
        <w:tc>
          <w:tcPr>
            <w:tcW w:type="dxa" w:w="5102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WHAT IT MEANS</w:t>
            </w:r>
          </w:p>
        </w:tc>
      </w:tr>
      <w:tr>
        <w:tc>
          <w:tcPr>
            <w:tcW w:type="dxa" w:w="79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01</w:t>
            </w:r>
          </w:p>
        </w:tc>
        <w:tc>
          <w:tcPr>
            <w:tcW w:type="dxa" w:w="351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There is no “them” without “us”.</w:t>
            </w:r>
          </w:p>
        </w:tc>
        <w:tc>
          <w:tcPr>
            <w:tcW w:type="dxa" w:w="5102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Every agent and autopilot exists because a person asked for it. A person stays answerable for it.</w:t>
            </w:r>
          </w:p>
        </w:tc>
      </w:tr>
      <w:tr>
        <w:tc>
          <w:tcPr>
            <w:tcW w:type="dxa" w:w="79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02</w:t>
            </w:r>
          </w:p>
        </w:tc>
        <w:tc>
          <w:tcPr>
            <w:tcW w:type="dxa" w:w="351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If you can’t see it, you can’t trust it.</w:t>
            </w:r>
          </w:p>
        </w:tc>
        <w:tc>
          <w:tcPr>
            <w:tcW w:type="dxa" w:w="5102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Every agent has a name, a purpose, an owner and a place you can visit.</w:t>
            </w:r>
          </w:p>
        </w:tc>
      </w:tr>
      <w:tr>
        <w:tc>
          <w:tcPr>
            <w:tcW w:type="dxa" w:w="79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03</w:t>
            </w:r>
          </w:p>
        </w:tc>
        <w:tc>
          <w:tcPr>
            <w:tcW w:type="dxa" w:w="351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Autonomy is earned, not assumed.</w:t>
            </w:r>
          </w:p>
        </w:tc>
        <w:tc>
          <w:tcPr>
            <w:tcW w:type="dxa" w:w="5102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Agents start by suggesting. They act alone only when they’ve shown they can, inside a boundary we’ve written down.</w:t>
            </w:r>
          </w:p>
        </w:tc>
      </w:tr>
      <w:tr>
        <w:tc>
          <w:tcPr>
            <w:tcW w:type="dxa" w:w="79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04</w:t>
            </w:r>
          </w:p>
        </w:tc>
        <w:tc>
          <w:tcPr>
            <w:tcW w:type="dxa" w:w="351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Every agent has a meter.</w:t>
            </w:r>
          </w:p>
        </w:tc>
        <w:tc>
          <w:tcPr>
            <w:tcW w:type="dxa" w:w="5102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We know what it costs, what it saves and who sees the bill.</w:t>
            </w:r>
          </w:p>
        </w:tc>
      </w:tr>
      <w:tr>
        <w:tc>
          <w:tcPr>
            <w:tcW w:type="dxa" w:w="79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05</w:t>
            </w:r>
          </w:p>
        </w:tc>
        <w:tc>
          <w:tcPr>
            <w:tcW w:type="dxa" w:w="351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Make it visible, then make it fast.</w:t>
            </w:r>
          </w:p>
        </w:tc>
        <w:tc>
          <w:tcPr>
            <w:tcW w:type="dxa" w:w="5102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Speed without visibility is how small mistakes become big ones.</w:t>
            </w:r>
          </w:p>
        </w:tc>
      </w:tr>
      <w:tr>
        <w:tc>
          <w:tcPr>
            <w:tcW w:type="dxa" w:w="79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06</w:t>
            </w:r>
          </w:p>
        </w:tc>
        <w:tc>
          <w:tcPr>
            <w:tcW w:type="dxa" w:w="351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Learn together, in the open.</w:t>
            </w:r>
          </w:p>
        </w:tc>
        <w:tc>
          <w:tcPr>
            <w:tcW w:type="dxa" w:w="5102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Nobody should learn to work with agents alone in a chat window.</w:t>
            </w:r>
          </w:p>
        </w:tc>
      </w:tr>
      <w:tr>
        <w:tc>
          <w:tcPr>
            <w:tcW w:type="dxa" w:w="79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07</w:t>
            </w:r>
          </w:p>
        </w:tc>
        <w:tc>
          <w:tcPr>
            <w:tcW w:type="dxa" w:w="351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Teach the people before you scale the agents.</w:t>
            </w:r>
          </w:p>
        </w:tc>
        <w:tc>
          <w:tcPr>
            <w:tcW w:type="dxa" w:w="5102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Enablement is the first budget line, not the last.</w:t>
            </w:r>
          </w:p>
        </w:tc>
      </w:tr>
      <w:tr>
        <w:tc>
          <w:tcPr>
            <w:tcW w:type="dxa" w:w="79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08</w:t>
            </w:r>
          </w:p>
        </w:tc>
        <w:tc>
          <w:tcPr>
            <w:tcW w:type="dxa" w:w="351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Redesign the work, then add the AI.</w:t>
            </w:r>
          </w:p>
        </w:tc>
        <w:tc>
          <w:tcPr>
            <w:tcW w:type="dxa" w:w="5102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Don’t automate a broken process. Fix it, then hand the dull parts to the machines.</w:t>
            </w:r>
          </w:p>
        </w:tc>
      </w:tr>
      <w:tr>
        <w:tc>
          <w:tcPr>
            <w:tcW w:type="dxa" w:w="79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09</w:t>
            </w:r>
          </w:p>
        </w:tc>
        <w:tc>
          <w:tcPr>
            <w:tcW w:type="dxa" w:w="351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Humans keep the judgement calls.</w:t>
            </w:r>
          </w:p>
        </w:tc>
        <w:tc>
          <w:tcPr>
            <w:tcW w:type="dxa" w:w="5102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Agents do the steps; people make the decisions that need values, context and care.</w:t>
            </w:r>
          </w:p>
        </w:tc>
      </w:tr>
      <w:tr>
        <w:tc>
          <w:tcPr>
            <w:tcW w:type="dxa" w:w="79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10</w:t>
            </w:r>
          </w:p>
        </w:tc>
        <w:tc>
          <w:tcPr>
            <w:tcW w:type="dxa" w:w="351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Mistakes are shared, not hidden.</w:t>
            </w:r>
          </w:p>
        </w:tc>
        <w:tc>
          <w:tcPr>
            <w:tcW w:type="dxa" w:w="5102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When an agent gets it wrong, we say so, fix it and tell everyone what we learned.</w:t>
            </w:r>
          </w:p>
        </w:tc>
      </w:tr>
      <w:tr>
        <w:tc>
          <w:tcPr>
            <w:tcW w:type="dxa" w:w="79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11</w:t>
            </w:r>
          </w:p>
        </w:tc>
        <w:tc>
          <w:tcPr>
            <w:tcW w:type="dxa" w:w="351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Retire what we don’t need.</w:t>
            </w:r>
          </w:p>
        </w:tc>
        <w:tc>
          <w:tcPr>
            <w:tcW w:type="dxa" w:w="5102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An agent nobody owns or uses gets switched off. Fewer, better agents beat many forgotten ones.</w:t>
            </w:r>
          </w:p>
        </w:tc>
      </w:tr>
      <w:tr>
        <w:tc>
          <w:tcPr>
            <w:tcW w:type="dxa" w:w="79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12</w:t>
            </w:r>
          </w:p>
        </w:tc>
        <w:tc>
          <w:tcPr>
            <w:tcW w:type="dxa" w:w="351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We’re building this together.</w:t>
            </w:r>
          </w:p>
        </w:tc>
        <w:tc>
          <w:tcPr>
            <w:tcW w:type="dxa" w:w="5102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The manifesto is a living document. Anyone can propose a change.</w:t>
            </w:r>
          </w:p>
        </w:tc>
      </w:tr>
    </w:tbl>
    <w:p>
      <w:pPr>
        <w:spacing w:after="40"/>
      </w:pPr>
    </w:p>
    <w:p>
      <w:pPr>
        <w:keepNext/>
        <w:spacing w:before="28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THE SHARED FLOOR</w:t>
      </w:r>
    </w:p>
    <w:p>
      <w:pPr>
        <w:pStyle w:val="Heading2"/>
        <w:spacing w:before="0"/>
      </w:pPr>
      <w:r>
        <w:rPr>
          <w:rFonts w:ascii="Inter" w:hAnsi="Inter" w:cs="Inter" w:eastAsia="Inter"/>
          <w:b/>
          <w:color w:val="161616"/>
        </w:rPr>
        <w:t>Six habits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1020"/>
        <w:gridCol w:w="1474"/>
        <w:gridCol w:w="4649"/>
        <w:gridCol w:w="2268"/>
      </w:tblGrid>
      <w:tr>
        <w:trPr>
          <w:tblHeader w:val="true"/>
        </w:trPr>
        <w:tc>
          <w:tcPr>
            <w:tcW w:type="dxa" w:w="1020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HABIT</w:t>
            </w:r>
          </w:p>
        </w:tc>
        <w:tc>
          <w:tcPr>
            <w:tcW w:type="dxa" w:w="1474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NAME</w:t>
            </w:r>
          </w:p>
        </w:tc>
        <w:tc>
          <w:tcPr>
            <w:tcW w:type="dxa" w:w="4649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QUESTION</w:t>
            </w:r>
          </w:p>
        </w:tc>
        <w:tc>
          <w:tcPr>
            <w:tcW w:type="dxa" w:w="2268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CARD ACCENT</w:t>
            </w:r>
          </w:p>
        </w:tc>
      </w:tr>
      <w:tr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01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Name it</w:t>
            </w:r>
          </w:p>
        </w:tc>
        <w:tc>
          <w:tcPr>
            <w:tcW w:type="dxa" w:w="464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What is it, what is it for, and who owns it?</w:t>
            </w:r>
          </w:p>
        </w:tc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Rust (risk)</w:t>
            </w:r>
          </w:p>
        </w:tc>
      </w:tr>
      <w:tr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02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Place it</w:t>
            </w:r>
          </w:p>
        </w:tc>
        <w:tc>
          <w:tcPr>
            <w:tcW w:type="dxa" w:w="464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Where can I see it working?</w:t>
            </w:r>
          </w:p>
        </w:tc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Rust (risk)</w:t>
            </w:r>
          </w:p>
        </w:tc>
      </w:tr>
      <w:tr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03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Bound it</w:t>
            </w:r>
          </w:p>
        </w:tc>
        <w:tc>
          <w:tcPr>
            <w:tcW w:type="dxa" w:w="464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What may it do on its own?</w:t>
            </w:r>
          </w:p>
        </w:tc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Rust (risk)</w:t>
            </w:r>
          </w:p>
        </w:tc>
      </w:tr>
      <w:tr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04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Meter it</w:t>
            </w:r>
          </w:p>
        </w:tc>
        <w:tc>
          <w:tcPr>
            <w:tcW w:type="dxa" w:w="464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What does it cost and what does it return?</w:t>
            </w:r>
          </w:p>
        </w:tc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Agent blue (cost)</w:t>
            </w:r>
          </w:p>
        </w:tc>
      </w:tr>
      <w:tr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05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Teach it</w:t>
            </w:r>
          </w:p>
        </w:tc>
        <w:tc>
          <w:tcPr>
            <w:tcW w:type="dxa" w:w="464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Do the people around it know how to work with it?</w:t>
            </w:r>
          </w:p>
        </w:tc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Highlighter (enablement)</w:t>
            </w:r>
          </w:p>
        </w:tc>
      </w:tr>
      <w:tr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06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Share it</w:t>
            </w:r>
          </w:p>
        </w:tc>
        <w:tc>
          <w:tcPr>
            <w:tcW w:type="dxa" w:w="464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What have we learned?</w:t>
            </w:r>
          </w:p>
        </w:tc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Highlighter (enablement)</w:t>
            </w:r>
          </w:p>
        </w:tc>
      </w:tr>
    </w:tbl>
    <w:p>
      <w:pPr>
        <w:spacing w:after="40"/>
      </w:pPr>
    </w:p>
    <w:p>
      <w:pPr>
        <w:keepNext/>
        <w:spacing w:before="28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BOUND IT · A0–A4</w:t>
      </w:r>
    </w:p>
    <w:p>
      <w:pPr>
        <w:pStyle w:val="Heading2"/>
        <w:spacing w:before="0"/>
      </w:pPr>
      <w:r>
        <w:rPr>
          <w:rFonts w:ascii="Inter" w:hAnsi="Inter" w:cs="Inter" w:eastAsia="Inter"/>
          <w:b/>
          <w:color w:val="161616"/>
        </w:rPr>
        <w:t>Autonomy ladder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1020"/>
        <w:gridCol w:w="2721"/>
        <w:gridCol w:w="5670"/>
      </w:tblGrid>
      <w:tr>
        <w:trPr>
          <w:tblHeader w:val="true"/>
        </w:trPr>
        <w:tc>
          <w:tcPr>
            <w:tcW w:type="dxa" w:w="1020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LEVEL</w:t>
            </w:r>
          </w:p>
        </w:tc>
        <w:tc>
          <w:tcPr>
            <w:tcW w:type="dxa" w:w="2721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NAME</w:t>
            </w:r>
          </w:p>
        </w:tc>
        <w:tc>
          <w:tcPr>
            <w:tcW w:type="dxa" w:w="5669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THE AGENT…</w:t>
            </w:r>
          </w:p>
        </w:tc>
      </w:tr>
      <w:tr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A0</w:t>
            </w:r>
          </w:p>
        </w:tc>
        <w:tc>
          <w:tcPr>
            <w:tcW w:type="dxa" w:w="2721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Assist</w:t>
            </w:r>
          </w:p>
        </w:tc>
        <w:tc>
          <w:tcPr>
            <w:tcW w:type="dxa" w:w="566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Answers when asked</w:t>
            </w:r>
          </w:p>
        </w:tc>
      </w:tr>
      <w:tr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A1</w:t>
            </w:r>
          </w:p>
        </w:tc>
        <w:tc>
          <w:tcPr>
            <w:tcW w:type="dxa" w:w="2721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Suggest</w:t>
            </w:r>
          </w:p>
        </w:tc>
        <w:tc>
          <w:tcPr>
            <w:tcW w:type="dxa" w:w="566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Proposes actions</w:t>
            </w:r>
          </w:p>
        </w:tc>
      </w:tr>
      <w:tr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A2</w:t>
            </w:r>
          </w:p>
        </w:tc>
        <w:tc>
          <w:tcPr>
            <w:tcW w:type="dxa" w:w="2721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Act with approval</w:t>
            </w:r>
          </w:p>
        </w:tc>
        <w:tc>
          <w:tcPr>
            <w:tcW w:type="dxa" w:w="566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Prepares and executes after a yes</w:t>
            </w:r>
          </w:p>
        </w:tc>
      </w:tr>
      <w:tr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A3</w:t>
            </w:r>
          </w:p>
        </w:tc>
        <w:tc>
          <w:tcPr>
            <w:tcW w:type="dxa" w:w="2721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Act and report</w:t>
            </w:r>
          </w:p>
        </w:tc>
        <w:tc>
          <w:tcPr>
            <w:tcW w:type="dxa" w:w="566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Acts inside a boundary, reports after</w:t>
            </w:r>
          </w:p>
        </w:tc>
      </w:tr>
      <w:tr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A4</w:t>
            </w:r>
          </w:p>
        </w:tc>
        <w:tc>
          <w:tcPr>
            <w:tcW w:type="dxa" w:w="2721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Autopilot</w:t>
            </w:r>
          </w:p>
        </w:tc>
        <w:tc>
          <w:tcPr>
            <w:tcW w:type="dxa" w:w="566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Runs a whole process on a trigger</w:t>
            </w:r>
          </w:p>
        </w:tc>
      </w:tr>
    </w:tbl>
    <w:p>
      <w:pPr>
        <w:spacing w:after="40"/>
      </w:pPr>
    </w:p>
    <w:p>
      <w:r>
        <w:rPr>
          <w:sz w:val="19"/>
        </w:rPr>
        <w:t>New agents start at A0 or A1. On screen and on boards the last rung (A4) is drawn in highlighter.</w:t>
      </w:r>
    </w:p>
    <w:p>
      <w:pPr>
        <w:keepNext/>
        <w:spacing w:before="28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FRAMEVR · ORGANISATIONAL SPACES</w:t>
      </w:r>
    </w:p>
    <w:p>
      <w:pPr>
        <w:pStyle w:val="Heading2"/>
        <w:spacing w:before="0"/>
      </w:pPr>
      <w:r>
        <w:rPr>
          <w:rFonts w:ascii="Inter" w:hAnsi="Inter" w:cs="Inter" w:eastAsia="Inter"/>
          <w:b/>
          <w:color w:val="161616"/>
        </w:rPr>
        <w:t>Six rooms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ROOM</w:t>
            </w:r>
          </w:p>
        </w:tc>
        <w:tc>
          <w:tcPr>
            <w:tcW w:type="dxa" w:w="470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HABIT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Front Door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NAME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The Floor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PLACE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Control Room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BOUND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Meter Room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METER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Classroom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TEACH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Assembly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SHARE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04 · IDENTITY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Name, wordmark and logo mark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2948"/>
        <w:gridCol w:w="6463"/>
      </w:tblGrid>
      <w:tr>
        <w:trPr>
          <w:tblHeader w:val="true"/>
        </w:trPr>
        <w:tc>
          <w:tcPr>
            <w:tcW w:type="dxa" w:w="2948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USE</w:t>
            </w:r>
          </w:p>
        </w:tc>
        <w:tc>
          <w:tcPr>
            <w:tcW w:type="dxa" w:w="6463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FORM</w:t>
            </w:r>
          </w:p>
        </w:tc>
      </w:tr>
      <w:tr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Full name</w:t>
            </w:r>
          </w:p>
        </w:tc>
        <w:tc>
          <w:tcPr>
            <w:tcW w:type="dxa" w:w="646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Us and Them</w:t>
            </w:r>
          </w:p>
        </w:tc>
      </w:tr>
      <w:tr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Wordmark (masthead, labels)</w:t>
            </w:r>
          </w:p>
        </w:tc>
        <w:tc>
          <w:tcPr>
            <w:tcW w:type="dxa" w:w="646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US &amp; THEM in IBM Plex Mono 600, all caps, letter-spacing 0.14em</w:t>
            </w:r>
          </w:p>
        </w:tc>
      </w:tr>
      <w:tr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Domain lock-up</w:t>
            </w:r>
          </w:p>
        </w:tc>
        <w:tc>
          <w:tcPr>
            <w:tcW w:type="dxa" w:w="646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US &amp; THEM · USANDTHEM.WORK</w:t>
            </w:r>
          </w:p>
        </w:tc>
      </w:tr>
      <w:tr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Board bar lock-up</w:t>
            </w:r>
          </w:p>
        </w:tc>
        <w:tc>
          <w:tcPr>
            <w:tcW w:type="dxa" w:w="646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mark + US &amp; THEM · &lt;AREA NAME&gt; (elaboration: as built in render_boards.py)</w:t>
            </w:r>
          </w:p>
        </w:tc>
      </w:tr>
    </w:tbl>
    <w:p>
      <w:pPr>
        <w:spacing w:after="40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320000" cy="129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dmark-pape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WORDMARK ON PAPER · AMPERSAND IN A HIGHLIGHTER BOX AS BUILT (.BRAND .AMP)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320000" cy="129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dmark-in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WORDMARK ON INK · PAPER #F3F1EA TEXT, HIGHLIGHTER AMPERSAND ALLOWED</w:t>
      </w: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Wordmark rules</w:t>
      </w:r>
    </w:p>
    <w:p>
      <w:pPr>
        <w:pStyle w:val="ListBullet"/>
        <w:spacing w:after="40"/>
      </w:pPr>
      <w:r>
        <w:t>In running text write “Us and Them”. Use the ampersand only in the wordmark and in “Autopilots, Agents &amp; Humans”.</w:t>
      </w:r>
    </w:p>
    <w:p>
      <w:pPr>
        <w:pStyle w:val="ListBullet"/>
        <w:spacing w:after="40"/>
      </w:pPr>
      <w:r>
        <w:t>Always set the wordmark in mono caps. Never in Inter, never in italics, never in a script face.</w:t>
      </w:r>
    </w:p>
    <w:p>
      <w:pPr>
        <w:pStyle w:val="ListBullet"/>
        <w:spacing w:after="40"/>
      </w:pPr>
      <w:r>
        <w:t>Give it clear space at least the height of the capital U on all sides.</w:t>
      </w:r>
    </w:p>
    <w:p>
      <w:pPr>
        <w:pStyle w:val="ListBullet"/>
        <w:spacing w:after="40"/>
      </w:pPr>
      <w:r>
        <w:t>On dark backgrounds (ink), the wordmark is paper #f3f1ea; the ampersand may be highlighter #e9f06a.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320000" cy="151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dmark-clearspac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5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CLEAR SPACE · AT LEAST THE HEIGHT OF THE CAPITAL U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040000" cy="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kup-domai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DOMAIN LOCK-UP</w:t>
      </w: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Logo mark: “the floor”</w:t>
      </w:r>
    </w:p>
    <w:p>
      <w:r>
        <w:t>A rounded square in sky blue with three rust tracks meeting at a paper tile, with small blocks at the track ends: rust (Humans), agent blue (Agents) and highlighter (Autopilots). Files: site/favicon.svg and site/assets/logo-mark.svg (32 × 32 viewBox).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1980000" cy="198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mark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LOGO MARK · SITE/FAVICON.SVG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135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ize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3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MINIMUM SIZE 16 PX · MASTHEAD 22 PX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DO</w:t>
            </w:r>
          </w:p>
        </w:tc>
        <w:tc>
          <w:tcPr>
            <w:tcW w:type="dxa" w:w="470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DON'T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Use the SVG files as supplied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Recolour the tracks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Keep it at 16 px or larger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Rotate the mark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Place it on paper, card or ink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Add a shadow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05 · COLOUR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Colour</w:t>
      </w:r>
    </w:p>
    <w:p>
      <w:pPr>
        <w:spacing w:after="200"/>
      </w:pPr>
      <w:r>
        <w:rPr>
          <w:rFonts w:ascii="Inter" w:hAnsi="Inter" w:cs="Inter" w:eastAsia="Inter"/>
          <w:b/>
          <w:color w:val="161616"/>
          <w:sz w:val="26"/>
        </w:rPr>
        <w:t>The core palette is identical to trolleyproblems.work. Each colour has a job.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347355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lett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473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THIRTEEN TOKENS · SITE/STYLES.CSS :ROOT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907"/>
        <w:gridCol w:w="1927"/>
        <w:gridCol w:w="1927"/>
        <w:gridCol w:w="2948"/>
        <w:gridCol w:w="1701"/>
      </w:tblGrid>
      <w:tr>
        <w:tc>
          <w:tcPr>
            <w:tcW w:type="dxa" w:w="907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SWATCH</w:t>
            </w:r>
          </w:p>
        </w:tc>
        <w:tc>
          <w:tcPr>
            <w:tcW w:type="dxa" w:w="1928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TOKEN</w:t>
            </w:r>
          </w:p>
        </w:tc>
        <w:tc>
          <w:tcPr>
            <w:tcW w:type="dxa" w:w="1928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HEX · RGB</w:t>
            </w:r>
          </w:p>
        </w:tc>
        <w:tc>
          <w:tcPr>
            <w:tcW w:type="dxa" w:w="2948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ROLE</w:t>
            </w:r>
          </w:p>
        </w:tc>
        <w:tc>
          <w:tcPr>
            <w:tcW w:type="dxa" w:w="1701"/>
            <w:shd w:val="clear" w:color="auto" w:fill="f3f1ea"/>
          </w:tcPr>
          <w:p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LIFTED FROM</w:t>
            </w:r>
          </w:p>
        </w:tc>
      </w:tr>
      <w:tr>
        <w:tc>
          <w:tcPr>
            <w:tcW w:type="dxa" w:w="907"/>
            <w:shd w:val="clear" w:color="auto" w:fill="f3f1ea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--paper</w:t>
            </w:r>
            <w:r>
              <w:rPr>
                <w:sz w:val="18"/>
              </w:rPr>
              <w:br/>
              <w:t>Paper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#F3F1EA</w:t>
            </w:r>
            <w:r>
              <w:rPr>
                <w:sz w:val="17"/>
              </w:rPr>
              <w:br/>
              <w:t>RGB 243, 241, 234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Background; the shared floor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--paper</w:t>
            </w:r>
          </w:p>
        </w:tc>
      </w:tr>
      <w:tr>
        <w:tc>
          <w:tcPr>
            <w:tcW w:type="dxa" w:w="907"/>
            <w:shd w:val="clear" w:color="auto" w:fill="fbfaf6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--card</w:t>
            </w:r>
            <w:r>
              <w:rPr>
                <w:sz w:val="18"/>
              </w:rPr>
              <w:br/>
              <w:t>Card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#FBFAF6</w:t>
            </w:r>
            <w:r>
              <w:rPr>
                <w:sz w:val="17"/>
              </w:rPr>
              <w:br/>
              <w:t>RGB 251, 250, 246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Cards, buttons, label boxes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button/card fill</w:t>
            </w:r>
          </w:p>
        </w:tc>
      </w:tr>
      <w:tr>
        <w:tc>
          <w:tcPr>
            <w:tcW w:type="dxa" w:w="907"/>
            <w:shd w:val="clear" w:color="auto" w:fill="161616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--ink</w:t>
            </w:r>
            <w:r>
              <w:rPr>
                <w:sz w:val="18"/>
              </w:rPr>
              <w:br/>
              <w:t>Ink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#161616</w:t>
            </w:r>
            <w:r>
              <w:rPr>
                <w:sz w:val="17"/>
              </w:rPr>
              <w:br/>
              <w:t>RGB 22, 22, 22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Text, rules, outlines, byline bar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--ink</w:t>
            </w:r>
          </w:p>
        </w:tc>
      </w:tr>
      <w:tr>
        <w:tc>
          <w:tcPr>
            <w:tcW w:type="dxa" w:w="907"/>
            <w:shd w:val="clear" w:color="auto" w:fill="3a3a3a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--ink-2</w:t>
            </w:r>
            <w:r>
              <w:rPr>
                <w:sz w:val="18"/>
              </w:rPr>
              <w:br/>
              <w:t>Ink 2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#3A3A3A</w:t>
            </w:r>
            <w:r>
              <w:rPr>
                <w:sz w:val="17"/>
              </w:rPr>
              <w:br/>
              <w:t>RGB 58, 58, 58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Secondary text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--ink-2</w:t>
            </w:r>
          </w:p>
        </w:tc>
      </w:tr>
      <w:tr>
        <w:tc>
          <w:tcPr>
            <w:tcW w:type="dxa" w:w="907"/>
            <w:shd w:val="clear" w:color="auto" w:fill="6c6a63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--muted</w:t>
            </w:r>
            <w:r>
              <w:rPr>
                <w:sz w:val="18"/>
              </w:rPr>
              <w:br/>
              <w:t>Muted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#6C6A63</w:t>
            </w:r>
            <w:r>
              <w:rPr>
                <w:sz w:val="17"/>
              </w:rPr>
              <w:br/>
              <w:t>RGB 108, 106, 99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Captions, meta, footers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--muted</w:t>
            </w:r>
          </w:p>
        </w:tc>
      </w:tr>
      <w:tr>
        <w:tc>
          <w:tcPr>
            <w:tcW w:type="dxa" w:w="907"/>
            <w:shd w:val="clear" w:color="auto" w:fill="2b2b2b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--line</w:t>
            </w:r>
            <w:r>
              <w:rPr>
                <w:sz w:val="18"/>
              </w:rPr>
              <w:br/>
              <w:t>Line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#2B2B2B</w:t>
            </w:r>
            <w:r>
              <w:rPr>
                <w:sz w:val="17"/>
              </w:rPr>
              <w:br/>
              <w:t>RGB 43, 43, 43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1 px rules and borders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--line</w:t>
            </w:r>
          </w:p>
        </w:tc>
      </w:tr>
      <w:tr>
        <w:tc>
          <w:tcPr>
            <w:tcW w:type="dxa" w:w="907"/>
            <w:shd w:val="clear" w:color="auto" w:fill="b7d3f6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--sky</w:t>
            </w:r>
            <w:r>
              <w:rPr>
                <w:sz w:val="18"/>
              </w:rPr>
              <w:br/>
              <w:t>Sky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#B7D3F6</w:t>
            </w:r>
            <w:r>
              <w:rPr>
                <w:sz w:val="17"/>
              </w:rPr>
              <w:br/>
              <w:t>RGB 183, 211, 246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Diagram panels; Agents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--sky</w:t>
            </w:r>
          </w:p>
        </w:tc>
      </w:tr>
      <w:tr>
        <w:tc>
          <w:tcPr>
            <w:tcW w:type="dxa" w:w="907"/>
            <w:shd w:val="clear" w:color="auto" w:fill="a4472b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--rust</w:t>
            </w:r>
            <w:r>
              <w:rPr>
                <w:sz w:val="18"/>
              </w:rPr>
              <w:br/>
              <w:t>Rust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#A4472B</w:t>
            </w:r>
            <w:r>
              <w:rPr>
                <w:sz w:val="17"/>
              </w:rPr>
              <w:br/>
              <w:t>RGB 164, 71, 43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Tracks, focus rings, emphasis; Humans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--rust</w:t>
            </w:r>
          </w:p>
        </w:tc>
      </w:tr>
      <w:tr>
        <w:tc>
          <w:tcPr>
            <w:tcW w:type="dxa" w:w="907"/>
            <w:shd w:val="clear" w:color="auto" w:fill="e9f06a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--hl</w:t>
            </w:r>
            <w:r>
              <w:rPr>
                <w:sz w:val="18"/>
              </w:rPr>
              <w:br/>
              <w:t>Highlighter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#E9F06A</w:t>
            </w:r>
            <w:r>
              <w:rPr>
                <w:sz w:val="17"/>
              </w:rPr>
              <w:br/>
              <w:t>RGB 233, 240, 106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Highlighter tags, result headers; Autopilots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--hl</w:t>
            </w:r>
          </w:p>
        </w:tc>
      </w:tr>
      <w:tr>
        <w:tc>
          <w:tcPr>
            <w:tcW w:type="dxa" w:w="907"/>
            <w:shd w:val="clear" w:color="auto" w:fill="9fb4d8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--agent-blue</w:t>
            </w:r>
            <w:r>
              <w:rPr>
                <w:sz w:val="18"/>
              </w:rPr>
              <w:br/>
              <w:t>Agent blue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#9FB4D8</w:t>
            </w:r>
            <w:r>
              <w:rPr>
                <w:sz w:val="17"/>
              </w:rPr>
              <w:br/>
              <w:t>RGB 159, 180, 216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Agent blocks in diagrams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favicon trolley</w:t>
            </w:r>
          </w:p>
        </w:tc>
      </w:tr>
      <w:tr>
        <w:tc>
          <w:tcPr>
            <w:tcW w:type="dxa" w:w="907"/>
            <w:shd w:val="clear" w:color="auto" w:fill="e9a54a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--amber</w:t>
            </w:r>
            <w:r>
              <w:rPr>
                <w:sz w:val="18"/>
              </w:rPr>
              <w:br/>
              <w:t>Amber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#E9A54A</w:t>
            </w:r>
            <w:r>
              <w:rPr>
                <w:sz w:val="17"/>
              </w:rPr>
              <w:br/>
              <w:t>RGB 233, 165, 74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Small accents in diagrams only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favicon</w:t>
            </w:r>
          </w:p>
        </w:tc>
      </w:tr>
      <w:tr>
        <w:tc>
          <w:tcPr>
            <w:tcW w:type="dxa" w:w="907"/>
            <w:shd w:val="clear" w:color="auto" w:fill="eef5fe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--tint-sky</w:t>
            </w:r>
            <w:r>
              <w:rPr>
                <w:sz w:val="18"/>
              </w:rPr>
              <w:br/>
              <w:t>Tint sky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#EEF5FE</w:t>
            </w:r>
            <w:r>
              <w:rPr>
                <w:sz w:val="17"/>
              </w:rPr>
              <w:br/>
              <w:t>RGB 238, 245, 254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Soft panel ("in the real world")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result block</w:t>
            </w:r>
          </w:p>
        </w:tc>
      </w:tr>
      <w:tr>
        <w:tc>
          <w:tcPr>
            <w:tcW w:type="dxa" w:w="907"/>
            <w:shd w:val="clear" w:color="auto" w:fill="fff3ef"/>
          </w:tcPr>
          <w:p>
            <w:pPr>
              <w:spacing w:after="0"/>
            </w:pP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--tint-rust</w:t>
            </w:r>
            <w:r>
              <w:rPr>
                <w:sz w:val="18"/>
              </w:rPr>
              <w:br/>
              <w:t>Tint rust</w:t>
            </w:r>
          </w:p>
        </w:tc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#FFF3EF</w:t>
            </w:r>
            <w:r>
              <w:rPr>
                <w:sz w:val="17"/>
              </w:rPr>
              <w:br/>
              <w:t>RGB 255, 243, 239</w:t>
            </w:r>
          </w:p>
        </w:tc>
        <w:tc>
          <w:tcPr>
            <w:tcW w:type="dxa" w:w="294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Soft alert panel</w:t>
            </w:r>
          </w:p>
        </w:tc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TP taken card</w:t>
            </w:r>
          </w:p>
        </w:tc>
      </w:tr>
    </w:tbl>
    <w:p/>
    <w:p>
      <w:pPr>
        <w:pStyle w:val="Heading2"/>
      </w:pPr>
      <w:r>
        <w:rPr>
          <w:rFonts w:ascii="Inter" w:hAnsi="Inter" w:cs="Inter" w:eastAsia="Inter"/>
          <w:b/>
          <w:color w:val="161616"/>
        </w:rPr>
        <w:t>The three tracks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2835"/>
        <w:gridCol w:w="3288"/>
        <w:gridCol w:w="3288"/>
      </w:tblGrid>
      <w:tr>
        <w:trPr>
          <w:tblHeader w:val="true"/>
        </w:trPr>
        <w:tc>
          <w:tcPr>
            <w:tcW w:type="dxa" w:w="2835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TRACK</w:t>
            </w:r>
          </w:p>
        </w:tc>
        <w:tc>
          <w:tcPr>
            <w:tcW w:type="dxa" w:w="3288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COLOUR</w:t>
            </w:r>
          </w:p>
        </w:tc>
        <w:tc>
          <w:tcPr>
            <w:tcW w:type="dxa" w:w="3288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HEX</w:t>
            </w:r>
          </w:p>
        </w:tc>
      </w:tr>
      <w:tr>
        <w:tc>
          <w:tcPr>
            <w:tcW w:type="dxa" w:w="2835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Humans</w:t>
            </w:r>
          </w:p>
        </w:tc>
        <w:tc>
          <w:tcPr>
            <w:tcW w:type="dxa" w:w="328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Rust</w:t>
            </w:r>
          </w:p>
        </w:tc>
        <w:tc>
          <w:tcPr>
            <w:tcW w:type="dxa" w:w="328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#A4472B</w:t>
            </w:r>
          </w:p>
        </w:tc>
      </w:tr>
      <w:tr>
        <w:tc>
          <w:tcPr>
            <w:tcW w:type="dxa" w:w="2835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Agents</w:t>
            </w:r>
          </w:p>
        </w:tc>
        <w:tc>
          <w:tcPr>
            <w:tcW w:type="dxa" w:w="328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Sky</w:t>
            </w:r>
          </w:p>
        </w:tc>
        <w:tc>
          <w:tcPr>
            <w:tcW w:type="dxa" w:w="328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#B7D3F6</w:t>
            </w:r>
          </w:p>
        </w:tc>
      </w:tr>
      <w:tr>
        <w:tc>
          <w:tcPr>
            <w:tcW w:type="dxa" w:w="2835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Autopilots</w:t>
            </w:r>
          </w:p>
        </w:tc>
        <w:tc>
          <w:tcPr>
            <w:tcW w:type="dxa" w:w="328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Highlighter</w:t>
            </w:r>
          </w:p>
        </w:tc>
        <w:tc>
          <w:tcPr>
            <w:tcW w:type="dxa" w:w="328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#E9F06A</w:t>
            </w:r>
          </w:p>
        </w:tc>
      </w:tr>
    </w:tbl>
    <w:p>
      <w:pPr>
        <w:spacing w:after="40"/>
      </w:pPr>
    </w:p>
    <w:p>
      <w:r>
        <w:t>Say “Humans, Agents &amp; Autopilots” in that colour order: rust, sky, highlighter. Never swap the colour roles.</w:t>
      </w: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Proportions</w:t>
      </w:r>
    </w:p>
    <w:p>
      <w:pPr>
        <w:keepNext w:val="0"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100471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portion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0047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40"/>
      </w:pPr>
      <w:r>
        <w:t>About 70% paper, 20% ink, 10% accents.</w:t>
      </w:r>
    </w:p>
    <w:p>
      <w:pPr>
        <w:pStyle w:val="ListBullet"/>
        <w:spacing w:after="40"/>
      </w:pPr>
      <w:r>
        <w:t>One highlighter tag per screen at most.</w:t>
      </w:r>
    </w:p>
    <w:p>
      <w:pPr>
        <w:pStyle w:val="ListBullet"/>
        <w:spacing w:after="40"/>
      </w:pPr>
      <w:r>
        <w:t>Sky is for diagrams and the hero panel, not for page backgrounds.</w:t>
      </w:r>
    </w:p>
    <w:p>
      <w:pPr>
        <w:pStyle w:val="ListBullet"/>
        <w:spacing w:after="40"/>
      </w:pPr>
      <w:r>
        <w:t>Never put text on amber or agent blue at small sizes.</w:t>
      </w:r>
    </w:p>
    <w:p>
      <w:pPr>
        <w:pStyle w:val="ListBullet"/>
        <w:spacing w:after="40"/>
      </w:pPr>
      <w:r>
        <w:t>Card top rules: rust = risk, agent blue = cost, highlighter = enablement.</w:t>
      </w: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06 · TYPE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Typography</w:t>
      </w:r>
    </w:p>
    <w:p>
      <w:pPr>
        <w:spacing w:after="200"/>
      </w:pPr>
      <w:r>
        <w:rPr>
          <w:rFonts w:ascii="Inter" w:hAnsi="Inter" w:cs="Inter" w:eastAsia="Inter"/>
          <w:b/>
          <w:color w:val="161616"/>
          <w:sz w:val="26"/>
        </w:rPr>
        <w:t>Two free faces: Inter for reading, IBM Plex Mono for labels. The pairing is the brand.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31374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ype-specimen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13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TYPE SPECIMEN · RENDERED WITH SITE/STYLES.CSS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1360"/>
        <w:gridCol w:w="1587"/>
        <w:gridCol w:w="907"/>
        <w:gridCol w:w="2154"/>
        <w:gridCol w:w="3402"/>
      </w:tblGrid>
      <w:tr>
        <w:trPr>
          <w:tblHeader w:val="true"/>
        </w:trPr>
        <w:tc>
          <w:tcPr>
            <w:tcW w:type="dxa" w:w="1361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ROLE</w:t>
            </w:r>
          </w:p>
        </w:tc>
        <w:tc>
          <w:tcPr>
            <w:tcW w:type="dxa" w:w="1587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FACE</w:t>
            </w:r>
          </w:p>
        </w:tc>
        <w:tc>
          <w:tcPr>
            <w:tcW w:type="dxa" w:w="907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WEIGHT</w:t>
            </w:r>
          </w:p>
        </w:tc>
        <w:tc>
          <w:tcPr>
            <w:tcW w:type="dxa" w:w="2154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SIZE (WEB)</w:t>
            </w:r>
          </w:p>
        </w:tc>
        <w:tc>
          <w:tcPr>
            <w:tcW w:type="dxa" w:w="3402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NOTES</w:t>
            </w:r>
          </w:p>
        </w:tc>
      </w:tr>
      <w:tr>
        <w:tc>
          <w:tcPr>
            <w:tcW w:type="dxa" w:w="136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Display</w:t>
            </w:r>
          </w:p>
        </w:tc>
        <w:tc>
          <w:tcPr>
            <w:tcW w:type="dxa" w:w="158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Inter</w:t>
            </w:r>
          </w:p>
        </w:tc>
        <w:tc>
          <w:tcPr>
            <w:tcW w:type="dxa" w:w="90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800</w:t>
            </w:r>
          </w:p>
        </w:tc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clamp(34px, 6vw, 58px)</w:t>
            </w:r>
          </w:p>
        </w:tc>
        <w:tc>
          <w:tcPr>
            <w:tcW w:type="dxa" w:w="340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line-height 1.02 · tracking -0.025em · H1 and hero title</w:t>
            </w:r>
          </w:p>
        </w:tc>
      </w:tr>
      <w:tr>
        <w:tc>
          <w:tcPr>
            <w:tcW w:type="dxa" w:w="136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H2</w:t>
            </w:r>
          </w:p>
        </w:tc>
        <w:tc>
          <w:tcPr>
            <w:tcW w:type="dxa" w:w="158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Inter</w:t>
            </w:r>
          </w:p>
        </w:tc>
        <w:tc>
          <w:tcPr>
            <w:tcW w:type="dxa" w:w="90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800</w:t>
            </w:r>
          </w:p>
        </w:tc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clamp(24px, 3.4vw, 34px)</w:t>
            </w:r>
          </w:p>
        </w:tc>
        <w:tc>
          <w:tcPr>
            <w:tcW w:type="dxa" w:w="340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line-height 1.1 · tracking -0.02em · Section headings (site uses clamp(26px,4vw,36px) on home blocks)</w:t>
            </w:r>
          </w:p>
        </w:tc>
      </w:tr>
      <w:tr>
        <w:tc>
          <w:tcPr>
            <w:tcW w:type="dxa" w:w="136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H3</w:t>
            </w:r>
          </w:p>
        </w:tc>
        <w:tc>
          <w:tcPr>
            <w:tcW w:type="dxa" w:w="158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Inter</w:t>
            </w:r>
          </w:p>
        </w:tc>
        <w:tc>
          <w:tcPr>
            <w:tcW w:type="dxa" w:w="90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700</w:t>
            </w:r>
          </w:p>
        </w:tc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20px</w:t>
            </w:r>
          </w:p>
        </w:tc>
        <w:tc>
          <w:tcPr>
            <w:tcW w:type="dxa" w:w="340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tracking -0.01em · Card and sub-section headings</w:t>
            </w:r>
          </w:p>
        </w:tc>
      </w:tr>
      <w:tr>
        <w:tc>
          <w:tcPr>
            <w:tcW w:type="dxa" w:w="136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Body</w:t>
            </w:r>
          </w:p>
        </w:tc>
        <w:tc>
          <w:tcPr>
            <w:tcW w:type="dxa" w:w="158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Inter</w:t>
            </w:r>
          </w:p>
        </w:tc>
        <w:tc>
          <w:tcPr>
            <w:tcW w:type="dxa" w:w="90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400</w:t>
            </w:r>
          </w:p>
        </w:tc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16-17px</w:t>
            </w:r>
          </w:p>
        </w:tc>
        <w:tc>
          <w:tcPr>
            <w:tcW w:type="dxa" w:w="340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line-height 1.5 · Max line length 44em; site base 16.5px</w:t>
            </w:r>
          </w:p>
        </w:tc>
      </w:tr>
      <w:tr>
        <w:tc>
          <w:tcPr>
            <w:tcW w:type="dxa" w:w="136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Lead</w:t>
            </w:r>
          </w:p>
        </w:tc>
        <w:tc>
          <w:tcPr>
            <w:tcW w:type="dxa" w:w="158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Inter</w:t>
            </w:r>
          </w:p>
        </w:tc>
        <w:tc>
          <w:tcPr>
            <w:tcW w:type="dxa" w:w="90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700</w:t>
            </w:r>
          </w:p>
        </w:tc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clamp(19px, 2.6vw, 24px)</w:t>
            </w:r>
          </w:p>
        </w:tc>
        <w:tc>
          <w:tcPr>
            <w:tcW w:type="dxa" w:w="340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line-height 1.35 · Strapline under H1</w:t>
            </w:r>
          </w:p>
        </w:tc>
      </w:tr>
      <w:tr>
        <w:tc>
          <w:tcPr>
            <w:tcW w:type="dxa" w:w="136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Eyebrow</w:t>
            </w:r>
          </w:p>
        </w:tc>
        <w:tc>
          <w:tcPr>
            <w:tcW w:type="dxa" w:w="158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IBM Plex Mono</w:t>
            </w:r>
          </w:p>
        </w:tc>
        <w:tc>
          <w:tcPr>
            <w:tcW w:type="dxa" w:w="90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600</w:t>
            </w:r>
          </w:p>
        </w:tc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11.5px</w:t>
            </w:r>
          </w:p>
        </w:tc>
        <w:tc>
          <w:tcPr>
            <w:tcW w:type="dxa" w:w="340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tracking 0.16em · caps · Above every heading, e.g. FIG 2 · THE SHARED FLOOR</w:t>
            </w:r>
          </w:p>
        </w:tc>
      </w:tr>
      <w:tr>
        <w:tc>
          <w:tcPr>
            <w:tcW w:type="dxa" w:w="136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Button</w:t>
            </w:r>
          </w:p>
        </w:tc>
        <w:tc>
          <w:tcPr>
            <w:tcW w:type="dxa" w:w="158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IBM Plex Mono</w:t>
            </w:r>
          </w:p>
        </w:tc>
        <w:tc>
          <w:tcPr>
            <w:tcW w:type="dxa" w:w="90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600</w:t>
            </w:r>
          </w:p>
        </w:tc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12px</w:t>
            </w:r>
          </w:p>
        </w:tc>
        <w:tc>
          <w:tcPr>
            <w:tcW w:type="dxa" w:w="340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tracking 0.12em · caps · Buttons and highlighter tags</w:t>
            </w:r>
          </w:p>
        </w:tc>
      </w:tr>
      <w:tr>
        <w:tc>
          <w:tcPr>
            <w:tcW w:type="dxa" w:w="136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Diagram Label</w:t>
            </w:r>
          </w:p>
        </w:tc>
        <w:tc>
          <w:tcPr>
            <w:tcW w:type="dxa" w:w="158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IBM Plex Mono</w:t>
            </w:r>
          </w:p>
        </w:tc>
        <w:tc>
          <w:tcPr>
            <w:tcW w:type="dxa" w:w="90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600</w:t>
            </w:r>
          </w:p>
        </w:tc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10.5-11px</w:t>
            </w:r>
          </w:p>
        </w:tc>
        <w:tc>
          <w:tcPr>
            <w:tcW w:type="dxa" w:w="340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tracking 0.06em · caps · Boxed labels with leader lines</w:t>
            </w:r>
          </w:p>
        </w:tc>
      </w:tr>
      <w:tr>
        <w:tc>
          <w:tcPr>
            <w:tcW w:type="dxa" w:w="136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Wordmark</w:t>
            </w:r>
          </w:p>
        </w:tc>
        <w:tc>
          <w:tcPr>
            <w:tcW w:type="dxa" w:w="158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IBM Plex Mono</w:t>
            </w:r>
          </w:p>
        </w:tc>
        <w:tc>
          <w:tcPr>
            <w:tcW w:type="dxa" w:w="90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600</w:t>
            </w:r>
          </w:p>
        </w:tc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12px (masthead)</w:t>
            </w:r>
          </w:p>
        </w:tc>
        <w:tc>
          <w:tcPr>
            <w:tcW w:type="dxa" w:w="340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tracking 0.14em · caps · US &amp; THEM</w:t>
            </w:r>
          </w:p>
        </w:tc>
      </w:tr>
      <w:tr>
        <w:tc>
          <w:tcPr>
            <w:tcW w:type="dxa" w:w="136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Footer</w:t>
            </w:r>
          </w:p>
        </w:tc>
        <w:tc>
          <w:tcPr>
            <w:tcW w:type="dxa" w:w="158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IBM Plex Mono</w:t>
            </w:r>
          </w:p>
        </w:tc>
        <w:tc>
          <w:tcPr>
            <w:tcW w:type="dxa" w:w="907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400</w:t>
            </w:r>
          </w:p>
        </w:tc>
        <w:tc>
          <w:tcPr>
            <w:tcW w:type="dxa" w:w="215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11px</w:t>
            </w:r>
          </w:p>
        </w:tc>
        <w:tc>
          <w:tcPr>
            <w:tcW w:type="dxa" w:w="340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tracking 0.14em · caps · Muted dry one-liner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Print, slides and Word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2268"/>
        <w:gridCol w:w="7144"/>
      </w:tblGrid>
      <w:tr>
        <w:trPr>
          <w:tblHeader w:val="true"/>
        </w:trPr>
        <w:tc>
          <w:tcPr>
            <w:tcW w:type="dxa" w:w="2268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ELEMENT</w:t>
            </w:r>
          </w:p>
        </w:tc>
        <w:tc>
          <w:tcPr>
            <w:tcW w:type="dxa" w:w="7143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WORD / SLIDES (ELABORATION)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Title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Inter Bold / ExtraBold, 40–60 pt, tight leading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Heading 1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Inter Bold 26 pt, ink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Heading 2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Inter Bold 16 pt, ink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Body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Inter Regular 10.5–11 pt, ink 2, 1.25 line spacing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Eyebrow / labels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IBM Plex Mono SemiBold 7.5–8 pt, caps, tracked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Slide body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Inter 18 pt minimum</w:t>
            </w:r>
          </w:p>
        </w:tc>
      </w:tr>
    </w:tbl>
    <w:p>
      <w:pPr>
        <w:spacing w:after="40"/>
      </w:pPr>
    </w:p>
    <w:p>
      <w:r>
        <w:rPr>
          <w:sz w:val="19"/>
        </w:rPr>
        <w:t>Both fonts are free on Google Fonts under the SIL Open Font Licence. Fallbacks: "Helvetica Neue", Arial, system-ui and ui-monospace, Menlo, monospace. If Inter isn't installed, Word substitutes; install both from fonts.google.com for a true render.</w:t>
      </w: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07 · LAYOUT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Layout, grid and spacing</w:t>
      </w:r>
    </w:p>
    <w:p>
      <w:pPr>
        <w:spacing w:after="200"/>
      </w:pPr>
      <w:r>
        <w:rPr>
          <w:rFonts w:ascii="Inter" w:hAnsi="Inter" w:cs="Inter" w:eastAsia="Inter"/>
          <w:b/>
          <w:color w:val="161616"/>
          <w:sz w:val="26"/>
        </w:rPr>
        <w:t>Reading pages are narrow, the home page is a grid, and everything sits on 1 px ink rules.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760000" cy="4050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hom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HOME PAGE · BYLINE BAR, MASTHEAD, HERO GRID, FIGURE PANEL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2268"/>
        <w:gridCol w:w="7144"/>
      </w:tblGrid>
      <w:tr>
        <w:trPr>
          <w:tblHeader w:val="true"/>
        </w:trPr>
        <w:tc>
          <w:tcPr>
            <w:tcW w:type="dxa" w:w="2268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ELEMENT</w:t>
            </w:r>
          </w:p>
        </w:tc>
        <w:tc>
          <w:tcPr>
            <w:tcW w:type="dxa" w:w="7143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VALUE (SITE/STYLES.CSS)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Reading width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880 px (.wrap.narrow)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Home width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1080 px (.wrap)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Prose measure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44em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Gutters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20 px desktop, 14 px below 640 px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Hero grid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1fr / 1.15fr, gap 32 px; stacks below 860 px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Card grids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2 or 3 columns, gap 16 px; 3 → 2 → 1 at 860 and 640 px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Section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40 px top padding, 1 px top rule, eyebrow then H2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Spacing in use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4, 6, 8, 10, 12, 14, 16, 18, 20, 24, 28, 32, 40, 44 px (elaboration: no named scale yet)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Radius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0 everywhere. Only the logo mark is rounded.</w:t>
            </w:r>
          </w:p>
        </w:tc>
      </w:tr>
      <w:tr>
        <w:tc>
          <w:tcPr>
            <w:tcW w:type="dxa" w:w="226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Shadows</w:t>
            </w:r>
          </w:p>
        </w:tc>
        <w:tc>
          <w:tcPr>
            <w:tcW w:type="dxa" w:w="714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Hard offset 2px 2px 0 ink on buttons only. No blur.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Page anatomy</w:t>
      </w:r>
    </w:p>
    <w:p>
      <w:pPr>
        <w:pStyle w:val="ListBullet"/>
        <w:spacing w:after="40"/>
      </w:pPr>
      <w:r>
        <w:rPr>
          <w:b/>
          <w:color w:val="161616"/>
        </w:rPr>
        <w:t xml:space="preserve">Byline bar: </w:t>
      </w:r>
      <w:r>
        <w:t>ink strip at the very top with “Us and Them” and the strapline in mono. Faceless for now: no personal names or bylines on public surfaces.</w:t>
      </w:r>
    </w:p>
    <w:p>
      <w:pPr>
        <w:pStyle w:val="ListBullet"/>
        <w:spacing w:after="40"/>
      </w:pPr>
      <w:r>
        <w:rPr>
          <w:b/>
          <w:color w:val="161616"/>
        </w:rPr>
        <w:t xml:space="preserve">Masthead: </w:t>
      </w:r>
      <w:r>
        <w:t>wordmark left, mono caps nav right, 1 px rule below.</w:t>
      </w:r>
    </w:p>
    <w:p>
      <w:pPr>
        <w:pStyle w:val="ListBullet"/>
        <w:spacing w:after="40"/>
      </w:pPr>
      <w:r>
        <w:rPr>
          <w:b/>
          <w:color w:val="161616"/>
        </w:rPr>
        <w:t xml:space="preserve">Page head: </w:t>
      </w:r>
      <w:r>
        <w:t>eyebrow, H1, lead (strap).</w:t>
      </w:r>
    </w:p>
    <w:p>
      <w:pPr>
        <w:pStyle w:val="ListBullet"/>
        <w:spacing w:after="40"/>
      </w:pPr>
      <w:r>
        <w:rPr>
          <w:b/>
          <w:color w:val="161616"/>
        </w:rPr>
        <w:t xml:space="preserve">Sections: </w:t>
      </w:r>
      <w:r>
        <w:t>1 px top rule, an eyebrow above every heading.</w:t>
      </w:r>
    </w:p>
    <w:p>
      <w:pPr>
        <w:pStyle w:val="ListBullet"/>
        <w:spacing w:after="40"/>
      </w:pPr>
      <w:r>
        <w:rPr>
          <w:b/>
          <w:color w:val="161616"/>
        </w:rPr>
        <w:t xml:space="preserve">Footer: </w:t>
      </w:r>
      <w:r>
        <w:t>mono caps, muted, a dry one-liner.</w:t>
      </w: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08 · COMPONENTS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Components</w:t>
      </w:r>
    </w:p>
    <w:p>
      <w:pPr>
        <w:spacing w:after="200"/>
      </w:pPr>
      <w:r>
        <w:rPr>
          <w:rFonts w:ascii="Inter" w:hAnsi="Inter" w:cs="Inter" w:eastAsia="Inter"/>
          <w:b/>
          <w:color w:val="161616"/>
          <w:sz w:val="26"/>
        </w:rPr>
        <w:t>All lifted from the trolley site and kept consistent. Square corners, 1 px ink, mono labels.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389934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onent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993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COMPONENT SHEET · RENDERED FROM SITE/STYLES.CSS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1701"/>
        <w:gridCol w:w="1474"/>
        <w:gridCol w:w="6237"/>
      </w:tblGrid>
      <w:tr>
        <w:trPr>
          <w:tblHeader w:val="true"/>
        </w:trPr>
        <w:tc>
          <w:tcPr>
            <w:tcW w:type="dxa" w:w="1701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COMPONENT</w:t>
            </w:r>
          </w:p>
        </w:tc>
        <w:tc>
          <w:tcPr>
            <w:tcW w:type="dxa" w:w="1474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CLASS</w:t>
            </w:r>
          </w:p>
        </w:tc>
        <w:tc>
          <w:tcPr>
            <w:tcW w:type="dxa" w:w="623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SPEC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Eyebrow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.eyebrow</w:t>
            </w:r>
          </w:p>
        </w:tc>
        <w:tc>
          <w:tcPr>
            <w:tcW w:type="dxa" w:w="6236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Mono 600 11.5 px caps, 0.16em, ink 2. Above every heading: FIG 2 · THE SHARED FLOOR, HABIT 03 · BOUND IT.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Button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.btn</w:t>
            </w:r>
          </w:p>
        </w:tc>
        <w:tc>
          <w:tcPr>
            <w:tcW w:type="dxa" w:w="6236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Card fill, 1.5 px ink border, hard shadow 2px 2px 0 ink; pressed moves 2 px. Mono 600 12 px caps.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Primary button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.btn-ink</w:t>
            </w:r>
          </w:p>
        </w:tc>
        <w:tc>
          <w:tcPr>
            <w:tcW w:type="dxa" w:w="6236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Ink fill, paper (#fbfaf6) text. One per group, e.g. READ THE MANIFESTO →.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Card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.card</w:t>
            </w:r>
          </w:p>
        </w:tc>
        <w:tc>
          <w:tcPr>
            <w:tcW w:type="dxa" w:w="6236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Card fill, 1 px ink border, no radius, no blur shadow. Variants: risk / cost / enable (4 px top rule), hl, sky.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Highlighter tag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.tag</w:t>
            </w:r>
          </w:p>
        </w:tc>
        <w:tc>
          <w:tcPr>
            <w:tcW w:type="dxa" w:w="6236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Highlighter fill, 1 px ink, mono caps. The one thing that matters: LAUNCH · THURSDAY 22 APRIL 2027.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Figure panel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.fig</w:t>
            </w:r>
          </w:p>
        </w:tc>
        <w:tc>
          <w:tcPr>
            <w:tcW w:type="dxa" w:w="6236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1 px ink border, sky background, mono header with corner mark top-left and crosshair ⌖ top-right, paper status bar with corner mark bottom-right.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Manifesto list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.manifesto</w:t>
            </w:r>
          </w:p>
        </w:tc>
        <w:tc>
          <w:tcPr>
            <w:tcW w:type="dxa" w:w="6236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Numbered 01–12 in boxed mono labels; two columns, one on mobile.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Autonomy ladder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.ladder</w:t>
            </w:r>
          </w:p>
        </w:tc>
        <w:tc>
          <w:tcPr>
            <w:tcW w:type="dxa" w:w="6236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Five rungs A0–A4 in a bordered row; last rung highlighter.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Callout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.callout</w:t>
            </w:r>
          </w:p>
        </w:tc>
        <w:tc>
          <w:tcPr>
            <w:tcW w:type="dxa" w:w="6236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Tint sky panel; .warn uses tint rust with a rust border.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Rooms list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.rooms</w:t>
            </w:r>
          </w:p>
        </w:tc>
        <w:tc>
          <w:tcPr>
            <w:tcW w:type="dxa" w:w="6236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Room name in mono caps, habit chip, description.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Footer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.foot</w:t>
            </w:r>
          </w:p>
        </w:tc>
        <w:tc>
          <w:tcPr>
            <w:tcW w:type="dxa" w:w="6236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Mono caps 11 px, muted: NO AGENTS WERE LEFT UNSUPERVISED IN THE MAKING OF THIS SITE.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Focus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:focus-visible</w:t>
            </w:r>
          </w:p>
        </w:tc>
        <w:tc>
          <w:tcPr>
            <w:tcW w:type="dxa" w:w="6236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3 px rust outline, 2 px offset.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Boards</w:t>
      </w:r>
    </w:p>
    <w:p>
      <w:r>
        <w:t>Boards are the same components at room scale. See section 10.</w:t>
      </w: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09 · IMAGERY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Imagery and illustration</w:t>
      </w:r>
    </w:p>
    <w:p>
      <w:pPr>
        <w:pStyle w:val="ListBullet"/>
        <w:spacing w:after="40"/>
      </w:pPr>
      <w:r>
        <w:t>Isometric technical drawings on a sky panel: a pale slab (the floor), rust tracks, small blocks for people (rust), agents (agent blue with ink outline) and autopilots (highlighter). Boxed mono labels with thin leader lines.</w:t>
      </w:r>
    </w:p>
    <w:p>
      <w:pPr>
        <w:pStyle w:val="ListBullet"/>
        <w:spacing w:after="40"/>
      </w:pPr>
      <w:r>
        <w:t>Figures are numbered like a manual: FIG 1, FIG 2.</w:t>
      </w:r>
    </w:p>
    <w:p>
      <w:pPr>
        <w:pStyle w:val="ListBullet"/>
        <w:spacing w:after="40"/>
      </w:pPr>
      <w:r>
        <w:t>People are shown as simple figures or as named cards, never as photos without consent.</w:t>
      </w:r>
    </w:p>
    <w:p>
      <w:pPr>
        <w:pStyle w:val="ListBullet"/>
        <w:spacing w:after="40"/>
      </w:pPr>
      <w:r>
        <w:t>Agents are drawn as blocks, cards or tokens.</w:t>
      </w:r>
    </w:p>
    <w:tbl>
      <w:tblPr>
        <w:tblW w:type="dxa" w:w="9412"/>
        <w:tblLook w:firstColumn="1" w:firstRow="1" w:lastColumn="0" w:lastRow="0" w:noHBand="0" w:noVBand="1" w:val="04A0"/>
        <w:tblBorders>
          <w:top w:val="single" w:sz="6" w:color="a4472b"/>
          <w:left w:val="single" w:sz="6" w:color="a4472b"/>
          <w:bottom w:val="single" w:sz="6" w:color="a4472b"/>
          <w:right w:val="single" w:sz="6" w:color="a4472b"/>
          <w:insideH w:val="single" w:sz="6" w:color="a4472b"/>
          <w:insideV w:val="single" w:sz="6" w:color="a447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9412"/>
      </w:tblGrid>
      <w:tr>
        <w:tc>
          <w:tcPr>
            <w:tcW w:type="dxa" w:w="9411"/>
            <w:shd w:val="clear" w:color="auto" w:fill="fff3ef"/>
          </w:tcPr>
          <w:p>
            <w:pPr>
              <w:spacing w:after="0"/>
            </w:pPr>
            <w:r>
              <w:rPr>
                <w:b/>
                <w:color w:val="161616"/>
              </w:rPr>
              <w:t xml:space="preserve">Never: </w:t>
            </w:r>
            <w:r>
              <w:t>No stock photos of robots, glowing brains, blue circuit faces or handshakes with androids. No humanoid robots at all.</w:t>
            </w:r>
          </w:p>
        </w:tc>
      </w:tr>
    </w:tbl>
    <w:p>
      <w:pPr>
        <w:spacing w:after="40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65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ard-fig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6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FIG 1 ON A BOARD · FRAMEVR/ASSETS/BOARD-FIG1.PNG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46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4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SOCIAL CARD · SITE/OG.PNG · 1200 × 630</w:t>
      </w: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10 · FRAMEVR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FrameVR boards and areas</w:t>
      </w:r>
    </w:p>
    <w:p>
      <w:pPr>
        <w:spacing w:after="200"/>
      </w:pPr>
      <w:r>
        <w:rPr>
          <w:rFonts w:ascii="Inter" w:hAnsi="Inter" w:cs="Inter" w:eastAsia="Inter"/>
          <w:b/>
          <w:color w:val="161616"/>
          <w:sz w:val="26"/>
        </w:rPr>
        <w:t>In FrameVR, boards follow the same rules: paper boards with ink type, sky panels for diagrams, one highlighter tag per board.</w:t>
      </w:r>
    </w:p>
    <w:p>
      <w:r>
        <w:t>The Us and Them space is a set of named areas in the forza frame, all prefixed usandthem (entry: framevr.io/forza#usandthem). Conference-2 is a separate build and is never touched.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125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ard-welcom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WELCOME BOARD · 1600 × 1100</w:t>
      </w: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Board anatomy (as built in tools/render_boards.py)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1927"/>
        <w:gridCol w:w="7484"/>
      </w:tblGrid>
      <w:tr>
        <w:trPr>
          <w:tblHeader w:val="true"/>
        </w:trPr>
        <w:tc>
          <w:tcPr>
            <w:tcW w:type="dxa" w:w="1928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PART</w:t>
            </w:r>
          </w:p>
        </w:tc>
        <w:tc>
          <w:tcPr>
            <w:tcW w:type="dxa" w:w="7483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SPEC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Frame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6 px ink border on paper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Top bar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Logo mark + US &amp; THEM · &lt;TITLE&gt; left; #USANDTHEM-&lt;AREA&gt; right; mono caps 0.16em; 2 px rule below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Accent strip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14 px under the bar on area boards: sky (Microsoft areas), highlighter (System 1), rust (System 2)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Body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Eyebrow, Inter 800 heading, Inter body in ink 2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Footer bar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USANDTHEM.WORK left; area URL or a dry line (PLEASE DON’T MOVE THE BOARDS) right; 2 px rule above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Sizes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1600 × 1100 standard; 1600 × 1300 manifesto; 2400 × 600 banner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Legibility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Text at least 60 pt equivalent, ink on paper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Assets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Grab-locked and tagged managed-by-builder, usandthem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Platform text boards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Frame text areas use Poppins (a Frame limitation); image boards use Inter + Plex Mono</w:t>
            </w:r>
          </w:p>
        </w:tc>
      </w:tr>
    </w:tbl>
    <w:p>
      <w:pPr>
        <w:spacing w:after="40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149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ner-wordmark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49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WORDMARK BANNER · 2400 × 600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70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ea-copilot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AREA BOARD · SKY ACCENT STRIP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70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ea-system-1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AREA BOARD · SYSTEM 1 · HIGHLIGHTER STRIP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70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ea-system-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AREA BOARD · SYSTEM 2 · RUST STRIP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320000" cy="3510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ard-manifesto-1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MANIFESTO BOARD 1 OF 2 · 1600 × 1300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70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ard-ladder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AUTONOMY LADDER BOARD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70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ard-wall-demo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THE WALL · ONE CARD PER TEAM, AGENT AND AUTOPILOT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64062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framevr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64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ALL BOARDS ARE ALSO PUBLISHED AT /FRAMEVR/</w:t>
      </w: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11 · VOICE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Voice and tone</w:t>
      </w:r>
    </w:p>
    <w:p>
      <w:pPr>
        <w:spacing w:after="200"/>
      </w:pPr>
      <w:r>
        <w:rPr>
          <w:rFonts w:ascii="Inter" w:hAnsi="Inter" w:cs="Inter" w:eastAsia="Inter"/>
          <w:b/>
          <w:color w:val="161616"/>
          <w:sz w:val="26"/>
        </w:rPr>
        <w:t>A practical colleague who has done this before, explains it plainly, and is a bit dry about the hype.</w:t>
      </w:r>
    </w:p>
    <w:p>
      <w:r>
        <w:t>Curious, never alarmist. Plain speaking. UK spelling. We write as “we”, never as a named person. Faceless for now: no personal names or bylines on public surfaces.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WE ARE</w:t>
            </w:r>
          </w:p>
        </w:tc>
        <w:tc>
          <w:tcPr>
            <w:tcW w:type="dxa" w:w="470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WE AREN'T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Plain: “agents need an owner”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Jargon: “operationalise agentic accountability frameworks”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Honest: “we don’t know yet”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Certain about the future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Hopeful and practical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Doom-laden or utopian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Specific: “15 minutes, weekly, in the team zone”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Vague: “regular touchpoints”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Sourced: every number linked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“Studies show…”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Inclusive: “us” means everyone at work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“Users”, “resources”, “headcount”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Words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WORDS WE USE</w:t>
            </w:r>
          </w:p>
        </w:tc>
        <w:tc>
          <w:tcPr>
            <w:tcW w:type="dxa" w:w="470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WORDS WE AVOID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people, teams, agents, autopilots, the floor, owner, boundary, meter, show and tell, retire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synergy, unleash, revolutionise, game-changer, digital workforce (unless quoting), the robots are coming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Preferred swaps (elaboration)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2835"/>
        <w:gridCol w:w="6577"/>
      </w:tblGrid>
      <w:tr>
        <w:trPr>
          <w:tblHeader w:val="true"/>
        </w:trPr>
        <w:tc>
          <w:tcPr>
            <w:tcW w:type="dxa" w:w="2835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INSTEAD OF</w:t>
            </w:r>
          </w:p>
        </w:tc>
        <w:tc>
          <w:tcPr>
            <w:tcW w:type="dxa" w:w="657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WRITE</w:t>
            </w:r>
          </w:p>
        </w:tc>
      </w:tr>
      <w:tr>
        <w:tc>
          <w:tcPr>
            <w:tcW w:type="dxa" w:w="28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users</w:t>
            </w:r>
          </w:p>
        </w:tc>
        <w:tc>
          <w:tcPr>
            <w:tcW w:type="dxa" w:w="65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people</w:t>
            </w:r>
          </w:p>
        </w:tc>
      </w:tr>
      <w:tr>
        <w:tc>
          <w:tcPr>
            <w:tcW w:type="dxa" w:w="28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resources</w:t>
            </w:r>
          </w:p>
        </w:tc>
        <w:tc>
          <w:tcPr>
            <w:tcW w:type="dxa" w:w="65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people / teams</w:t>
            </w:r>
          </w:p>
        </w:tc>
      </w:tr>
      <w:tr>
        <w:tc>
          <w:tcPr>
            <w:tcW w:type="dxa" w:w="28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headcount</w:t>
            </w:r>
          </w:p>
        </w:tc>
        <w:tc>
          <w:tcPr>
            <w:tcW w:type="dxa" w:w="65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people</w:t>
            </w:r>
          </w:p>
        </w:tc>
      </w:tr>
      <w:tr>
        <w:tc>
          <w:tcPr>
            <w:tcW w:type="dxa" w:w="28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regular touchpoints</w:t>
            </w:r>
          </w:p>
        </w:tc>
        <w:tc>
          <w:tcPr>
            <w:tcW w:type="dxa" w:w="65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 named ritual with a time, e.g. “15 minutes, weekly, in the team zone”</w:t>
            </w:r>
          </w:p>
        </w:tc>
      </w:tr>
      <w:tr>
        <w:tc>
          <w:tcPr>
            <w:tcW w:type="dxa" w:w="28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studies show</w:t>
            </w:r>
          </w:p>
        </w:tc>
        <w:tc>
          <w:tcPr>
            <w:tcW w:type="dxa" w:w="65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name and link the source</w:t>
            </w:r>
          </w:p>
        </w:tc>
      </w:tr>
      <w:tr>
        <w:tc>
          <w:tcPr>
            <w:tcW w:type="dxa" w:w="28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operationalise</w:t>
            </w:r>
          </w:p>
        </w:tc>
        <w:tc>
          <w:tcPr>
            <w:tcW w:type="dxa" w:w="65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do / run / set up</w:t>
            </w:r>
          </w:p>
        </w:tc>
      </w:tr>
      <w:tr>
        <w:tc>
          <w:tcPr>
            <w:tcW w:type="dxa" w:w="28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digital workforce</w:t>
            </w:r>
          </w:p>
        </w:tc>
        <w:tc>
          <w:tcPr>
            <w:tcW w:type="dxa" w:w="65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agents and autopilots</w:t>
            </w:r>
          </w:p>
        </w:tc>
      </w:tr>
      <w:tr>
        <w:tc>
          <w:tcPr>
            <w:tcW w:type="dxa" w:w="2835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robot / bot army</w:t>
            </w:r>
          </w:p>
        </w:tc>
        <w:tc>
          <w:tcPr>
            <w:tcW w:type="dxa" w:w="657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agents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Writing rules</w:t>
      </w:r>
    </w:p>
    <w:p>
      <w:pPr>
        <w:pStyle w:val="ListBullet"/>
        <w:spacing w:after="40"/>
      </w:pPr>
      <w:r>
        <w:t>Sentences under 25 words where possible. Short paragraphs.</w:t>
      </w:r>
    </w:p>
    <w:p>
      <w:pPr>
        <w:pStyle w:val="ListBullet"/>
        <w:spacing w:after="40"/>
      </w:pPr>
      <w:r>
        <w:t>Lead with the point. Then the reason. Then the example.</w:t>
      </w:r>
    </w:p>
    <w:p>
      <w:pPr>
        <w:pStyle w:val="ListBullet"/>
        <w:spacing w:after="40"/>
      </w:pPr>
      <w:r>
        <w:t>One idea per heading.</w:t>
      </w:r>
    </w:p>
    <w:p>
      <w:pPr>
        <w:pStyle w:val="ListBullet"/>
        <w:spacing w:after="40"/>
      </w:pPr>
      <w:r>
        <w:t>Numbers: figures for 10 and above, words below, except in tables.</w:t>
      </w:r>
    </w:p>
    <w:p>
      <w:pPr>
        <w:pStyle w:val="ListBullet"/>
        <w:spacing w:after="40"/>
      </w:pPr>
      <w:r>
        <w:t>Currency as £ for UK offers, USD where the source uses it.</w:t>
      </w:r>
    </w:p>
    <w:p>
      <w:pPr>
        <w:pStyle w:val="ListBullet"/>
        <w:spacing w:after="40"/>
      </w:pPr>
      <w:r>
        <w:t>Dates as “22 April 2027”. Times with a zone, e.g. “13:00 BST”.</w:t>
      </w:r>
    </w:p>
    <w:p>
      <w:pPr>
        <w:pStyle w:val="ListBullet"/>
        <w:spacing w:after="40"/>
      </w:pPr>
      <w:r>
        <w:t>UK spelling throughout (organisation, colour, licence as a noun, programme).</w:t>
      </w:r>
    </w:p>
    <w:p>
      <w:pPr>
        <w:pStyle w:val="ListBullet"/>
        <w:spacing w:after="40"/>
      </w:pPr>
      <w:r>
        <w:t>In running text write “Us and Them”; the ampersand only in the wordmark and in “Autopilots, Agents &amp; Humans”.</w:t>
      </w: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The citation rule</w:t>
      </w:r>
    </w:p>
    <w:tbl>
      <w:tblPr>
        <w:tblW w:type="dxa" w:w="9412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9412"/>
      </w:tblGrid>
      <w:tr>
        <w:tc>
          <w:tcPr>
            <w:tcW w:type="dxa" w:w="9411"/>
            <w:shd w:val="clear" w:color="auto" w:fill="eef5fe"/>
          </w:tcPr>
          <w:p>
            <w:pPr>
              <w:spacing w:after="0"/>
            </w:pPr>
            <w:r>
              <w:rPr>
                <w:b/>
                <w:color w:val="161616"/>
              </w:rPr>
              <w:t xml:space="preserve">Sourced, always. </w:t>
            </w:r>
            <w:r>
              <w:t>Every number links to its source (docs/sources.md, S1–S19). Never invent, extrapolate or round up a statistic. If there is no source, label it OUR VIEW or leave it out.</w:t>
            </w:r>
          </w:p>
        </w:tc>
      </w:tr>
    </w:tbl>
    <w:p>
      <w:pPr>
        <w:spacing w:after="40"/>
      </w:pPr>
    </w:p>
    <w:p>
      <w:pPr>
        <w:keepNext/>
        <w:spacing w:before="28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EXAMPLES</w:t>
      </w:r>
    </w:p>
    <w:p>
      <w:pPr>
        <w:pStyle w:val="Heading2"/>
        <w:spacing w:before="0"/>
      </w:pPr>
      <w:r>
        <w:rPr>
          <w:rFonts w:ascii="Inter" w:hAnsi="Inter" w:cs="Inter" w:eastAsia="Inter"/>
          <w:b/>
          <w:color w:val="161616"/>
        </w:rPr>
        <w:t>Do and don't: sample copy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4706"/>
        <w:gridCol w:w="4706"/>
      </w:tblGrid>
      <w:tr>
        <w:trPr>
          <w:tblHeader w:val="true"/>
        </w:trPr>
        <w:tc>
          <w:tcPr>
            <w:tcW w:type="dxa" w:w="470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DO</w:t>
            </w:r>
          </w:p>
        </w:tc>
        <w:tc>
          <w:tcPr>
            <w:tcW w:type="dxa" w:w="4706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DON'T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Every agent needs an owner. No owner, no launch.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Organisations must operationalise agentic accountability frameworks to unleash value.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We don’t know yet how far A4 will go. Here’s what we’ve seen so far.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By 2030 the robots are coming for every job.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Floor walk: 15 minutes, weekly, in the team zone.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Regular touchpoints to drive synergy.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IBM found 63% of breached organisations had no AI governance policy or were still writing one [S2].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Studies show most companies have no AI policy.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Count your agents. You’ll be surprised.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Revolutionise your digital workforce with this game-changer.</w:t>
            </w:r>
          </w:p>
        </w:tc>
      </w:tr>
      <w:tr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People, teams, agents and autopilots.</w:t>
            </w:r>
          </w:p>
        </w:tc>
        <w:tc>
          <w:tcPr>
            <w:tcW w:type="dxa" w:w="4706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Users, resources and headcount.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Sample copy by format (elaboration)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1927"/>
        <w:gridCol w:w="7484"/>
      </w:tblGrid>
      <w:tr>
        <w:trPr>
          <w:tblHeader w:val="true"/>
        </w:trPr>
        <w:tc>
          <w:tcPr>
            <w:tcW w:type="dxa" w:w="1928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FORMAT</w:t>
            </w:r>
          </w:p>
        </w:tc>
        <w:tc>
          <w:tcPr>
            <w:tcW w:type="dxa" w:w="7483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SAMPLE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Hero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Us and Them. Agents are arriving faster than we can see them, pay for them, or learn to work with them.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Eyebrow + H2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HABIT 03 · BOUND IT — What may it do on its own?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Button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READ THE MANIFESTO →  ·  SIGN UP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Highlighter tag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LAUNCH · THURSDAY 22 APRIL 2027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Board footer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PLEASE DON’T MOVE THE BOARDS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Social post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Week 3: count your agents. An afternoon census, five steps, and what usually turns up. usandthem.work</w:t>
            </w:r>
          </w:p>
        </w:tc>
      </w:tr>
      <w:tr>
        <w:tc>
          <w:tcPr>
            <w:tcW w:type="dxa" w:w="1928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Email subject</w:t>
            </w:r>
          </w:p>
        </w:tc>
        <w:tc>
          <w:tcPr>
            <w:tcW w:type="dxa" w:w="7483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Who owns this agent?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12 · ACCESSIBILITY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Accessibility and contrast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1474"/>
        <w:gridCol w:w="1474"/>
        <w:gridCol w:w="1134"/>
        <w:gridCol w:w="1020"/>
        <w:gridCol w:w="4309"/>
      </w:tblGrid>
      <w:tr>
        <w:trPr>
          <w:tblHeader w:val="true"/>
        </w:trPr>
        <w:tc>
          <w:tcPr>
            <w:tcW w:type="dxa" w:w="1474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FOREGROUND</w:t>
            </w:r>
          </w:p>
        </w:tc>
        <w:tc>
          <w:tcPr>
            <w:tcW w:type="dxa" w:w="1474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BACKGROUND</w:t>
            </w:r>
          </w:p>
        </w:tc>
        <w:tc>
          <w:tcPr>
            <w:tcW w:type="dxa" w:w="1134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RATIO</w:t>
            </w:r>
          </w:p>
        </w:tc>
        <w:tc>
          <w:tcPr>
            <w:tcW w:type="dxa" w:w="1020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WCAG</w:t>
            </w:r>
          </w:p>
        </w:tc>
        <w:tc>
          <w:tcPr>
            <w:tcW w:type="dxa" w:w="4309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USE</w:t>
            </w:r>
          </w:p>
        </w:tc>
      </w:tr>
      <w:tr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ink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paper</w:t>
            </w:r>
          </w:p>
        </w:tc>
        <w:tc>
          <w:tcPr>
            <w:tcW w:type="dxa" w:w="113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16.0:1</w:t>
            </w:r>
          </w:p>
        </w:tc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AAA</w:t>
            </w:r>
          </w:p>
        </w:tc>
        <w:tc>
          <w:tcPr>
            <w:tcW w:type="dxa" w:w="430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Default text</w:t>
            </w:r>
          </w:p>
        </w:tc>
      </w:tr>
      <w:tr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ink-2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paper</w:t>
            </w:r>
          </w:p>
        </w:tc>
        <w:tc>
          <w:tcPr>
            <w:tcW w:type="dxa" w:w="113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10.1:1</w:t>
            </w:r>
          </w:p>
        </w:tc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AAA</w:t>
            </w:r>
          </w:p>
        </w:tc>
        <w:tc>
          <w:tcPr>
            <w:tcW w:type="dxa" w:w="430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Secondary text</w:t>
            </w:r>
          </w:p>
        </w:tc>
      </w:tr>
      <w:tr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muted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paper</w:t>
            </w:r>
          </w:p>
        </w:tc>
        <w:tc>
          <w:tcPr>
            <w:tcW w:type="dxa" w:w="113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4.8:1</w:t>
            </w:r>
          </w:p>
        </w:tc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AA</w:t>
            </w:r>
          </w:p>
        </w:tc>
        <w:tc>
          <w:tcPr>
            <w:tcW w:type="dxa" w:w="430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Captions and meta at 12 px and above only</w:t>
            </w:r>
          </w:p>
        </w:tc>
      </w:tr>
      <w:tr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rust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paper</w:t>
            </w:r>
          </w:p>
        </w:tc>
        <w:tc>
          <w:tcPr>
            <w:tcW w:type="dxa" w:w="113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5.3:1</w:t>
            </w:r>
          </w:p>
        </w:tc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AA</w:t>
            </w:r>
          </w:p>
        </w:tc>
        <w:tc>
          <w:tcPr>
            <w:tcW w:type="dxa" w:w="430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Emphasis, links, focus ring</w:t>
            </w:r>
          </w:p>
        </w:tc>
      </w:tr>
      <w:tr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ink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sky</w:t>
            </w:r>
          </w:p>
        </w:tc>
        <w:tc>
          <w:tcPr>
            <w:tcW w:type="dxa" w:w="113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11.8:1</w:t>
            </w:r>
          </w:p>
        </w:tc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AAA</w:t>
            </w:r>
          </w:p>
        </w:tc>
        <w:tc>
          <w:tcPr>
            <w:tcW w:type="dxa" w:w="430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Labels on diagram panels</w:t>
            </w:r>
          </w:p>
        </w:tc>
      </w:tr>
      <w:tr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ink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hl</w:t>
            </w:r>
          </w:p>
        </w:tc>
        <w:tc>
          <w:tcPr>
            <w:tcW w:type="dxa" w:w="113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14.8:1</w:t>
            </w:r>
          </w:p>
        </w:tc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AAA</w:t>
            </w:r>
          </w:p>
        </w:tc>
        <w:tc>
          <w:tcPr>
            <w:tcW w:type="dxa" w:w="430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Highlighter tags</w:t>
            </w:r>
          </w:p>
        </w:tc>
      </w:tr>
      <w:tr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#ffffff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rust</w:t>
            </w:r>
          </w:p>
        </w:tc>
        <w:tc>
          <w:tcPr>
            <w:tcW w:type="dxa" w:w="113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6.0:1</w:t>
            </w:r>
          </w:p>
        </w:tc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AA</w:t>
            </w:r>
          </w:p>
        </w:tc>
        <w:tc>
          <w:tcPr>
            <w:tcW w:type="dxa" w:w="430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White text on rust</w:t>
            </w:r>
          </w:p>
        </w:tc>
      </w:tr>
      <w:tr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paper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ink</w:t>
            </w:r>
          </w:p>
        </w:tc>
        <w:tc>
          <w:tcPr>
            <w:tcW w:type="dxa" w:w="113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16.0:1</w:t>
            </w:r>
          </w:p>
        </w:tc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AAA</w:t>
            </w:r>
          </w:p>
        </w:tc>
        <w:tc>
          <w:tcPr>
            <w:tcW w:type="dxa" w:w="430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Byline bar, wordmark on dark</w:t>
            </w:r>
          </w:p>
        </w:tc>
      </w:tr>
      <w:tr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7"/>
              </w:rPr>
              <w:t>ink</w:t>
            </w:r>
          </w:p>
        </w:tc>
        <w:tc>
          <w:tcPr>
            <w:tcW w:type="dxa" w:w="147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card</w:t>
            </w:r>
          </w:p>
        </w:tc>
        <w:tc>
          <w:tcPr>
            <w:tcW w:type="dxa" w:w="1134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17.3:1</w:t>
            </w:r>
          </w:p>
        </w:tc>
        <w:tc>
          <w:tcPr>
            <w:tcW w:type="dxa" w:w="1020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AAA</w:t>
            </w:r>
          </w:p>
        </w:tc>
        <w:tc>
          <w:tcPr>
            <w:tcW w:type="dxa" w:w="4309"/>
            <w:shd w:val="clear" w:color="auto" w:fill="fbfaf6"/>
          </w:tcPr>
          <w:p>
            <w:pPr>
              <w:spacing w:after="0"/>
            </w:pPr>
            <w:r>
              <w:rPr>
                <w:sz w:val="18"/>
              </w:rPr>
              <w:t>Cards and buttons</w:t>
            </w:r>
          </w:p>
        </w:tc>
      </w:tr>
    </w:tbl>
    <w:p>
      <w:pPr>
        <w:spacing w:after="40"/>
      </w:pPr>
    </w:p>
    <w:p>
      <w:r>
        <w:rPr>
          <w:color w:val="6C6A63"/>
          <w:sz w:val="18"/>
        </w:rPr>
        <w:t>Ratios recalculated on 31 October 2026 with the WCAG relative-luminance formula; they match the v0.1 guide. Ink on card (17.3:1) and paper on ink (16.0:1) are added.</w:t>
      </w:r>
    </w:p>
    <w:p>
      <w:pPr>
        <w:pStyle w:val="ListBullet"/>
        <w:spacing w:after="40"/>
      </w:pPr>
      <w:r>
        <w:t>Body text 16 px minimum.</w:t>
      </w:r>
    </w:p>
    <w:p>
      <w:pPr>
        <w:pStyle w:val="ListBullet"/>
        <w:spacing w:after="40"/>
      </w:pPr>
      <w:r>
        <w:t>Muted text for captions at 12 px and above only.</w:t>
      </w:r>
    </w:p>
    <w:p>
      <w:pPr>
        <w:pStyle w:val="ListBullet"/>
        <w:spacing w:after="40"/>
      </w:pPr>
      <w:r>
        <w:t>Visible focus ring: 3 px rust outline with 2 px offset.</w:t>
      </w:r>
    </w:p>
    <w:p>
      <w:pPr>
        <w:pStyle w:val="ListBullet"/>
        <w:spacing w:after="40"/>
      </w:pPr>
      <w:r>
        <w:t>Every diagram has an aria-label or a text description next to it.</w:t>
      </w:r>
    </w:p>
    <w:p>
      <w:pPr>
        <w:pStyle w:val="ListBullet"/>
        <w:spacing w:after="40"/>
      </w:pPr>
      <w:r>
        <w:t>Respect prefers-reduced-motion.</w:t>
      </w:r>
    </w:p>
    <w:p>
      <w:pPr>
        <w:pStyle w:val="ListBullet"/>
        <w:spacing w:after="40"/>
      </w:pPr>
      <w:r>
        <w:t>Pages are lang="en-GB" with a Skip to content link.</w:t>
      </w:r>
    </w:p>
    <w:p>
      <w:pPr>
        <w:pStyle w:val="ListBullet"/>
        <w:spacing w:after="40"/>
      </w:pPr>
      <w:r>
        <w:t>Never put text on amber or agent blue at small sizes.</w:t>
      </w:r>
    </w:p>
    <w:p>
      <w:pPr>
        <w:pStyle w:val="ListBullet"/>
        <w:spacing w:after="40"/>
      </w:pPr>
      <w:r>
        <w:t>In FrameVR, board text at least 60 pt equivalent and high contrast (ink on paper).</w:t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13 · FILES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Files and naming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3969"/>
        <w:gridCol w:w="5443"/>
      </w:tblGrid>
      <w:tr>
        <w:trPr>
          <w:tblHeader w:val="true"/>
        </w:trPr>
        <w:tc>
          <w:tcPr>
            <w:tcW w:type="dxa" w:w="3969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FILE</w:t>
            </w:r>
          </w:p>
        </w:tc>
        <w:tc>
          <w:tcPr>
            <w:tcW w:type="dxa" w:w="5443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PURPOSE</w:t>
            </w:r>
          </w:p>
        </w:tc>
      </w:tr>
      <w:tr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6"/>
              </w:rPr>
              <w:t>site/styles.css</w:t>
            </w:r>
          </w:p>
        </w:tc>
        <w:tc>
          <w:tcPr>
            <w:tcW w:type="dxa" w:w="544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Design tokens and components (source of truth for web)</w:t>
            </w:r>
          </w:p>
        </w:tc>
      </w:tr>
      <w:tr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6"/>
              </w:rPr>
              <w:t>site/favicon.svg</w:t>
            </w:r>
          </w:p>
        </w:tc>
        <w:tc>
          <w:tcPr>
            <w:tcW w:type="dxa" w:w="544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Logo mark</w:t>
            </w:r>
          </w:p>
        </w:tc>
      </w:tr>
      <w:tr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6"/>
              </w:rPr>
              <w:t>site/assets/logo-mark.svg</w:t>
            </w:r>
          </w:p>
        </w:tc>
        <w:tc>
          <w:tcPr>
            <w:tcW w:type="dxa" w:w="544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Logo mark</w:t>
            </w:r>
          </w:p>
        </w:tc>
      </w:tr>
      <w:tr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6"/>
              </w:rPr>
              <w:t>site/assets/hero-floor.svg</w:t>
            </w:r>
          </w:p>
        </w:tc>
        <w:tc>
          <w:tcPr>
            <w:tcW w:type="dxa" w:w="544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FIG 1 hero illustration</w:t>
            </w:r>
          </w:p>
        </w:tc>
      </w:tr>
      <w:tr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6"/>
              </w:rPr>
              <w:t>site/og.png</w:t>
            </w:r>
          </w:p>
        </w:tc>
        <w:tc>
          <w:tcPr>
            <w:tcW w:type="dxa" w:w="544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Social card 1200×630</w:t>
            </w:r>
          </w:p>
        </w:tc>
      </w:tr>
      <w:tr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6"/>
              </w:rPr>
              <w:t>framevr/assets/*.png</w:t>
            </w:r>
          </w:p>
        </w:tc>
        <w:tc>
          <w:tcPr>
            <w:tcW w:type="dxa" w:w="544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Banners and boards for FrameVR</w:t>
            </w:r>
          </w:p>
        </w:tc>
      </w:tr>
      <w:tr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6"/>
              </w:rPr>
              <w:t>docs/brand/usandthem-brand.json</w:t>
            </w:r>
          </w:p>
        </w:tc>
        <w:tc>
          <w:tcPr>
            <w:tcW w:type="dxa" w:w="544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Design tokens and rules (machine-readable)</w:t>
            </w:r>
          </w:p>
        </w:tc>
      </w:tr>
      <w:tr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6"/>
              </w:rPr>
              <w:t>docs/brand/usandthem-brand-guidelines.docx</w:t>
            </w:r>
          </w:p>
        </w:tc>
        <w:tc>
          <w:tcPr>
            <w:tcW w:type="dxa" w:w="544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This document</w:t>
            </w:r>
          </w:p>
        </w:tc>
      </w:tr>
      <w:tr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6"/>
              </w:rPr>
              <w:t>docs/brand/usandthem-brand-system-prompt.md</w:t>
            </w:r>
          </w:p>
        </w:tc>
        <w:tc>
          <w:tcPr>
            <w:tcW w:type="dxa" w:w="544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System prompt for AI assistants</w:t>
            </w:r>
          </w:p>
        </w:tc>
      </w:tr>
      <w:tr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rFonts w:ascii="IBM Plex Mono" w:hAnsi="IBM Plex Mono" w:cs="IBM Plex Mono" w:eastAsia="IBM Plex Mono"/>
                <w:b/>
                <w:color w:val="161616"/>
                <w:sz w:val="16"/>
              </w:rPr>
              <w:t>docs/brand/img/*.png</w:t>
            </w:r>
          </w:p>
        </w:tc>
        <w:tc>
          <w:tcPr>
            <w:tcW w:type="dxa" w:w="5443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Images in this document (tools/brand_assets.py)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Naming (elaboration from existing files)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single" w:sz="6" w:color="2b2b2b"/>
          <w:left w:val="single" w:sz="6" w:color="2b2b2b"/>
          <w:bottom w:val="single" w:sz="6" w:color="2b2b2b"/>
          <w:right w:val="single" w:sz="6" w:color="2b2b2b"/>
          <w:insideH w:val="single" w:sz="6" w:color="2b2b2b"/>
          <w:insideV w:val="single" w:sz="6" w:color="2b2b2b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  <w:tblLayout w:type="fixed"/>
      </w:tblPr>
      <w:tblGrid>
        <w:gridCol w:w="1701"/>
        <w:gridCol w:w="3742"/>
        <w:gridCol w:w="3969"/>
      </w:tblGrid>
      <w:tr>
        <w:trPr>
          <w:tblHeader w:val="true"/>
        </w:trPr>
        <w:tc>
          <w:tcPr>
            <w:tcW w:type="dxa" w:w="1701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TYPE</w:t>
            </w:r>
          </w:p>
        </w:tc>
        <w:tc>
          <w:tcPr>
            <w:tcW w:type="dxa" w:w="3742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PATTERN</w:t>
            </w:r>
          </w:p>
        </w:tc>
        <w:tc>
          <w:tcPr>
            <w:tcW w:type="dxa" w:w="3969"/>
            <w:shd w:val="clear" w:color="auto" w:fill="f3f1ea"/>
          </w:tcPr>
          <w:p>
            <w:r/>
            <w:r>
              <w:rPr>
                <w:rFonts w:ascii="IBM Plex Mono" w:hAnsi="IBM Plex Mono" w:cs="IBM Plex Mono" w:eastAsia="IBM Plex Mono"/>
                <w:b/>
                <w:color w:val="161616"/>
                <w:sz w:val="15"/>
                <w:spacing w:val="24"/>
              </w:rPr>
              <w:t>EXAMPLE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Board</w:t>
            </w:r>
          </w:p>
        </w:tc>
        <w:tc>
          <w:tcPr>
            <w:tcW w:type="dxa" w:w="374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board-&lt;topic&gt;.png</w:t>
            </w:r>
          </w:p>
        </w:tc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board-welcome.png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Area board</w:t>
            </w:r>
          </w:p>
        </w:tc>
        <w:tc>
          <w:tcPr>
            <w:tcW w:type="dxa" w:w="374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area-&lt;area-slug&gt;.png</w:t>
            </w:r>
          </w:p>
        </w:tc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area-copilot-studio.png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Banner</w:t>
            </w:r>
          </w:p>
        </w:tc>
        <w:tc>
          <w:tcPr>
            <w:tcW w:type="dxa" w:w="374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banner-&lt;name&gt;.png</w:t>
            </w:r>
          </w:p>
        </w:tc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banner-wordmark.png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Doc</w:t>
            </w:r>
          </w:p>
        </w:tc>
        <w:tc>
          <w:tcPr>
            <w:tcW w:type="dxa" w:w="374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docs/NN-&lt;topic&gt;.md</w:t>
            </w:r>
          </w:p>
        </w:tc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docs/03-website.md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Blog post</w:t>
            </w:r>
          </w:p>
        </w:tc>
        <w:tc>
          <w:tcPr>
            <w:tcW w:type="dxa" w:w="374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blog/&lt;slug&gt;.html</w:t>
            </w:r>
          </w:p>
        </w:tc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blog/count-your-agents.html</w:t>
            </w:r>
          </w:p>
        </w:tc>
      </w:tr>
      <w:tr>
        <w:tc>
          <w:tcPr>
            <w:tcW w:type="dxa" w:w="1701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Brand file</w:t>
            </w:r>
          </w:p>
        </w:tc>
        <w:tc>
          <w:tcPr>
            <w:tcW w:type="dxa" w:w="3742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usandthem-brand-&lt;form&gt;.&lt;ext&gt;</w:t>
            </w:r>
          </w:p>
        </w:tc>
        <w:tc>
          <w:tcPr>
            <w:tcW w:type="dxa" w:w="3969"/>
            <w:shd w:val="clear" w:color="auto" w:fill="fbfaf6"/>
          </w:tcPr>
          <w:p>
            <w:pPr>
              <w:spacing w:after="0"/>
            </w:pPr>
            <w:r>
              <w:rPr>
                <w:sz w:val="17"/>
              </w:rPr>
              <w:t>usandthem-brand-system-prompt.md</w:t>
            </w:r>
          </w:p>
        </w:tc>
      </w:tr>
    </w:tbl>
    <w:p>
      <w:pPr>
        <w:spacing w:after="40"/>
      </w:pPr>
    </w:p>
    <w:p>
      <w:pPr>
        <w:pStyle w:val="ListBullet"/>
        <w:spacing w:after="40"/>
      </w:pPr>
      <w:r>
        <w:t>Lower-case kebab-case, no spaces, no dates in file names (dates go in the document).</w:t>
      </w:r>
    </w:p>
    <w:p>
      <w:pPr>
        <w:pStyle w:val="ListBullet"/>
        <w:spacing w:after="40"/>
      </w:pPr>
      <w:r>
        <w:t>Area slugs match the FrameVR spot names without the usandthem- prefix.</w:t>
      </w: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14 · EXAMPLES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Examples in use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64062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nifesto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64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MANIFESTO PAGE · NUMBERED LIST, EYEBROWS, ONE COLUMN MEASURE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64062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framework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64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FRAMEWORK PAGE · HABIT CARDS WITH TOP RULES, AUTONOMY LADDER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64062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spaces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64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SPACES PAGE · ROOMS LIST AND AREA CARDS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70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ard-problem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PROBLEM BOARD · RISK, COST, ENABLEMENT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70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ard-launch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left"/>
      </w:pPr>
      <w:r>
        <w:rPr>
          <w:rFonts w:ascii="IBM Plex Mono" w:hAnsi="IBM Plex Mono" w:cs="IBM Plex Mono" w:eastAsia="IBM Plex Mono"/>
          <w:b/>
          <w:color w:val="6C6A63"/>
          <w:sz w:val="14"/>
          <w:spacing w:val="24"/>
        </w:rPr>
        <w:t>LAUNCH BOARD · THE ONE HIGHLIGHTER TAG IS THE DATE</w:t>
      </w:r>
    </w:p>
    <w:p>
      <w:r>
        <w:br w:type="page"/>
      </w:r>
    </w:p>
    <w:p>
      <w:pPr>
        <w:keepNext/>
        <w:spacing w:before="160" w:after="40"/>
      </w:pPr>
      <w:r>
        <w:rPr>
          <w:rFonts w:ascii="IBM Plex Mono" w:hAnsi="IBM Plex Mono" w:cs="IBM Plex Mono" w:eastAsia="IBM Plex Mono"/>
          <w:b/>
          <w:color w:val="3A3A3A"/>
          <w:sz w:val="16"/>
          <w:spacing w:val="36"/>
        </w:rPr>
        <w:t>15 · NOTES</w:t>
      </w:r>
    </w:p>
    <w:p>
      <w:pPr>
        <w:pStyle w:val="Heading1"/>
        <w:spacing w:before="0"/>
      </w:pPr>
      <w:r>
        <w:rPr>
          <w:rFonts w:ascii="Inter" w:hAnsi="Inter" w:cs="Inter" w:eastAsia="Inter"/>
          <w:b/>
          <w:color w:val="161616"/>
        </w:rPr>
        <w:t>Elaborations and open questions</w:t>
      </w:r>
    </w:p>
    <w:p>
      <w:r>
        <w:t>These go beyond the v0.1 guide. They describe or extend what is already built; none adds a new colour, font or mark.</w:t>
      </w:r>
    </w:p>
    <w:p>
      <w:pPr>
        <w:pStyle w:val="ListBullet"/>
        <w:spacing w:after="40"/>
      </w:pPr>
      <w:r>
        <w:t>Preferred-term swaps (e.g. users → people) are derived from the guide's “We aren't” column; the guide lists the banned words but not every replacement.</w:t>
      </w:r>
    </w:p>
    <w:p>
      <w:pPr>
        <w:pStyle w:val="ListBullet"/>
        <w:spacing w:after="40"/>
      </w:pPr>
      <w:r>
        <w:t>Spacing scale is read from site/styles.css values in use (4–44 px); the v0.1 guide does not define a named spacing scale.</w:t>
      </w:r>
    </w:p>
    <w:p>
      <w:pPr>
        <w:pStyle w:val="ListBullet"/>
        <w:spacing w:after="40"/>
      </w:pPr>
      <w:r>
        <w:t>Radius tokens: 0 for all UI. The logo mark's 6/32 rounded square is the only radius, as built in favicon.svg.</w:t>
      </w:r>
    </w:p>
    <w:p>
      <w:pPr>
        <w:pStyle w:val="ListBullet"/>
        <w:spacing w:after="40"/>
      </w:pPr>
      <w:r>
        <w:t>Board conventions (bar, footer, accent strip, 6 px frame, 1600×1100 px) are documented from tools/render_boards.py, not from the v0.1 guide.</w:t>
      </w:r>
    </w:p>
    <w:p>
      <w:pPr>
        <w:pStyle w:val="ListBullet"/>
        <w:spacing w:after="40"/>
      </w:pPr>
      <w:r>
        <w:t>Sample copy and example outputs are written for this document in the guide's voice; they are not published brand lines.</w:t>
      </w:r>
    </w:p>
    <w:p>
      <w:pPr>
        <w:pStyle w:val="ListBullet"/>
        <w:spacing w:after="40"/>
      </w:pPr>
      <w:r>
        <w:t>File-naming convention generalises the names already used in the repo (kebab-case, prefix by type).</w:t>
      </w:r>
    </w:p>
    <w:p>
      <w:pPr>
        <w:pStyle w:val="ListBullet"/>
        <w:spacing w:after="40"/>
      </w:pPr>
      <w:r>
        <w:t>The ⌖ crosshair glyph used in figure headers is not in Inter or IBM Plex Mono, so it falls back to a system font and can show as a box on some systems; the guidelines images draw it as a small SVG. Recommendation only: swap the glyph for an inline SVG on the site.</w:t>
      </w:r>
    </w:p>
    <w:p>
      <w:pPr>
        <w:pStyle w:val="ListBullet"/>
        <w:spacing w:after="40"/>
      </w:pPr>
      <w:r>
        <w:t>The FrameVR intro boards created by the API use Frame's Poppins text-area font (framevr/build_areas.py), not Inter. Treat this as a platform limitation; image boards use Inter and IBM Plex Mono.</w:t>
      </w:r>
    </w:p>
    <w:p>
      <w:pPr>
        <w:pStyle w:val="Heading2"/>
      </w:pPr>
      <w:r>
        <w:rPr>
          <w:rFonts w:ascii="Inter" w:hAnsi="Inter" w:cs="Inter" w:eastAsia="Inter"/>
          <w:b/>
          <w:color w:val="161616"/>
        </w:rPr>
        <w:t>Open brand questions</w:t>
      </w:r>
    </w:p>
    <w:p>
      <w:pPr>
        <w:pStyle w:val="ListNumber"/>
        <w:spacing w:after="40"/>
      </w:pPr>
      <w:r>
        <w:t>Name clearance: “Us and Them” is also the title of a 1973 Pink Floyd song and other works. Check UK IPO / EUIPO marks in classes 41 and 42 before printing.</w:t>
      </w:r>
    </w:p>
    <w:p>
      <w:pPr>
        <w:pStyle w:val="ListNumber"/>
        <w:spacing w:after="40"/>
      </w:pPr>
      <w:r>
        <w:t>Byline: faceless for now. The bar carries “Us and Them” and the strapline; revisit if a named author is wanted later.</w:t>
      </w:r>
    </w:p>
    <w:p>
      <w:pPr>
        <w:pStyle w:val="ListNumber"/>
        <w:spacing w:after="40"/>
      </w:pPr>
      <w:r>
        <w:t>Manifesto licence: CC BY 4.0 suggested, not yet confirmed.</w:t>
      </w:r>
    </w:p>
    <w:p>
      <w:pPr>
        <w:spacing w:before="480"/>
        <w:pBdr>
          <w:top w:val="single" w:sz="6" w:space="4" w:color="161616"/>
        </w:pBdr>
      </w:pPr>
      <w:r>
        <w:rPr>
          <w:rFonts w:ascii="IBM Plex Mono" w:hAnsi="IBM Plex Mono" w:cs="IBM Plex Mono" w:eastAsia="IBM Plex Mono"/>
          <w:b/>
          <w:color w:val="6C6A63"/>
          <w:sz w:val="15"/>
          <w:spacing w:val="24"/>
        </w:rPr>
        <w:t>US &amp; THEM · USANDTHEM.WORK · A SIBLING OF TROLLEYPROBLEMS.WORK</w:t>
      </w:r>
    </w:p>
    <w:sectPr w:rsidR="00FC693F" w:rsidRPr="0006063C" w:rsidSect="00034616">
      <w:headerReference w:type="default" r:id="rId10"/>
      <w:footerReference w:type="default" r:id="rId11"/>
      <w:pgSz w:w="11906" w:h="16838"/>
      <w:pgMar w:top="1361" w:right="1247" w:bottom="124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6c6a63"/>
      </w:pBdr>
      <w:tabs>
        <w:tab w:pos="9411" w:val="right"/>
      </w:tabs>
    </w:pPr>
    <w:r/>
    <w:r>
      <w:rPr>
        <w:rFonts w:ascii="IBM Plex Mono" w:hAnsi="IBM Plex Mono" w:cs="IBM Plex Mono" w:eastAsia="IBM Plex Mono"/>
        <w:b w:val="0"/>
        <w:color w:val="6C6A63"/>
        <w:sz w:val="14"/>
        <w:spacing w:val="20"/>
      </w:rPr>
      <w:t>NO AGENTS WERE LEFT UNSUPERVISED IN THE MAKING OF THIS DOCUMENT</w:t>
      <w:tab/>
    </w:r>
    <w:r>
      <w:rPr>
        <w:rFonts w:ascii="IBM Plex Mono" w:hAnsi="IBM Plex Mono" w:cs="IBM Plex Mono" w:eastAsia="IBM Plex Mono"/>
        <w:b/>
        <w:color w:val="161616"/>
        <w:sz w:val="15"/>
      </w:rPr>
      <w:fldChar w:fldCharType="begin"/>
    </w:r>
    <w:r>
      <w:rPr>
        <w:rFonts w:ascii="IBM Plex Mono" w:hAnsi="IBM Plex Mono" w:cs="IBM Plex Mono" w:eastAsia="IBM Plex Mono"/>
        <w:b/>
        <w:color w:val="161616"/>
        <w:sz w:val="15"/>
      </w:rPr>
      <w:instrText xml:space="preserve">PAGE</w:instrText>
    </w:r>
    <w:r>
      <w:rPr>
        <w:rFonts w:ascii="IBM Plex Mono" w:hAnsi="IBM Plex Mono" w:cs="IBM Plex Mono" w:eastAsia="IBM Plex Mono"/>
        <w:b/>
        <w:color w:val="161616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6" w:space="4" w:color="161616"/>
      </w:pBdr>
    </w:pPr>
    <w:r/>
    <w:r>
      <w:rPr>
        <w:rFonts w:ascii="IBM Plex Mono" w:hAnsi="IBM Plex Mono" w:cs="IBM Plex Mono" w:eastAsia="IBM Plex Mono"/>
        <w:b/>
        <w:color w:val="161616"/>
        <w:sz w:val="15"/>
        <w:spacing w:val="30"/>
      </w:rPr>
      <w:t>US &amp; THEM · BRAND GUIDELINES V1.0</w:t>
    </w:r>
    <w:r>
      <w:rPr>
        <w:rFonts w:ascii="IBM Plex Mono" w:hAnsi="IBM Plex Mono" w:cs="IBM Plex Mono" w:eastAsia="IBM Plex Mono"/>
        <w:b/>
        <w:color w:val="3A3A3A"/>
        <w:sz w:val="15"/>
        <w:spacing w:val="30"/>
      </w:rPr>
      <w:tab/>
      <w:t>USANDTHEM.WORK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Inter" w:hAnsi="Inter" w:cs="Inter" w:eastAsia="Inter"/>
      <w:color w:val="3A3A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 w:ascii="Inter" w:hAnsi="Inter" w:cs="Inter" w:eastAsia="Inter"/>
      <w:b/>
      <w:bCs/>
      <w:i w:val="0"/>
      <w:color w:val="161616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Theme="majorHAnsi" w:eastAsiaTheme="majorEastAsia" w:hAnsiTheme="majorHAnsi" w:cstheme="majorBidi" w:ascii="Inter" w:hAnsi="Inter" w:cs="Inter" w:eastAsia="Inter"/>
      <w:b/>
      <w:bCs/>
      <w:i w:val="0"/>
      <w:color w:val="16161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Inter" w:hAnsi="Inter" w:cs="Inter" w:eastAsia="Inter"/>
      <w:b/>
      <w:bCs/>
      <w:i w:val="0"/>
      <w:color w:val="161616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Inter" w:hAnsi="Inter" w:cs="Inter" w:eastAsia="Inter"/>
      <w:color w:val="3A3A3A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Inter" w:hAnsi="Inter" w:cs="Inter" w:eastAsia="Inter"/>
      <w:color w:val="3A3A3A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and Them · Brand guidelines</dc:title>
  <dc:subject>usandthem.work brand guidelines v1.0</dc:subject>
  <dc:creator>Us and Them</dc:creator>
  <cp:keywords/>
  <dc:description>generated by python-docx</dc:description>
  <cp:lastModifiedBy>Us and Them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